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658A5" w14:textId="77777777" w:rsidR="00F36C34" w:rsidRPr="00863040" w:rsidRDefault="00F36C34" w:rsidP="00F36C34">
      <w:pPr>
        <w:ind w:right="-7"/>
        <w:rPr>
          <w:color w:val="555559"/>
          <w:lang w:val="en-US"/>
        </w:rPr>
        <w:sectPr w:rsidR="00F36C34" w:rsidRPr="00863040" w:rsidSect="00C573CD">
          <w:footerReference w:type="default" r:id="rId8"/>
          <w:headerReference w:type="first" r:id="rId9"/>
          <w:footerReference w:type="first" r:id="rId10"/>
          <w:pgSz w:w="11900" w:h="16840"/>
          <w:pgMar w:top="1134" w:right="1134" w:bottom="1134" w:left="1134" w:header="964" w:footer="510" w:gutter="0"/>
          <w:cols w:space="708"/>
          <w:titlePg/>
          <w:docGrid w:linePitch="360"/>
        </w:sectPr>
      </w:pPr>
      <w:bookmarkStart w:id="0" w:name="_GoBack"/>
      <w:bookmarkEnd w:id="0"/>
    </w:p>
    <w:p w14:paraId="12237AB3" w14:textId="4A31AA3F" w:rsidR="00C736EC" w:rsidRDefault="00A14089" w:rsidP="00C736EC">
      <w:pPr>
        <w:pStyle w:val="SectionHeading1"/>
      </w:pPr>
      <w:r>
        <w:t>Overview</w:t>
      </w:r>
    </w:p>
    <w:p w14:paraId="23F4099F" w14:textId="517E877F" w:rsidR="007B16C2" w:rsidRPr="007B16C2" w:rsidRDefault="00365A31" w:rsidP="007B16C2">
      <w:pPr>
        <w:autoSpaceDE w:val="0"/>
        <w:autoSpaceDN w:val="0"/>
        <w:adjustRightInd w:val="0"/>
        <w:rPr>
          <w:rFonts w:cs="PostGrotesk-Book"/>
          <w:color w:val="55565A"/>
          <w:sz w:val="22"/>
          <w:szCs w:val="22"/>
        </w:rPr>
      </w:pPr>
      <w:r w:rsidRPr="00365A31">
        <w:rPr>
          <w:rFonts w:cs="PostGrotesk-Book"/>
          <w:color w:val="55565A"/>
          <w:sz w:val="22"/>
          <w:szCs w:val="22"/>
        </w:rPr>
        <w:t>Members of the Victorian community interact with government every day</w:t>
      </w:r>
      <w:r>
        <w:rPr>
          <w:rFonts w:cs="PostGrotesk-Book"/>
          <w:color w:val="55565A"/>
          <w:sz w:val="22"/>
          <w:szCs w:val="22"/>
        </w:rPr>
        <w:t xml:space="preserve">, and </w:t>
      </w:r>
      <w:r w:rsidRPr="00365A31">
        <w:rPr>
          <w:rFonts w:cs="PostGrotesk-Book"/>
          <w:color w:val="55565A"/>
          <w:sz w:val="22"/>
          <w:szCs w:val="22"/>
        </w:rPr>
        <w:t>in almost every interaction, information is created</w:t>
      </w:r>
      <w:r w:rsidR="006F16AE">
        <w:rPr>
          <w:rFonts w:cs="PostGrotesk-Book"/>
          <w:color w:val="55565A"/>
          <w:sz w:val="22"/>
          <w:szCs w:val="22"/>
        </w:rPr>
        <w:t>, captured</w:t>
      </w:r>
      <w:r w:rsidRPr="00365A31">
        <w:rPr>
          <w:rFonts w:cs="PostGrotesk-Book"/>
          <w:color w:val="55565A"/>
          <w:sz w:val="22"/>
          <w:szCs w:val="22"/>
        </w:rPr>
        <w:t xml:space="preserve"> or collected</w:t>
      </w:r>
      <w:r>
        <w:rPr>
          <w:rFonts w:cs="PostGrotesk-Book"/>
          <w:color w:val="55565A"/>
          <w:sz w:val="22"/>
          <w:szCs w:val="22"/>
        </w:rPr>
        <w:t xml:space="preserve">. </w:t>
      </w:r>
      <w:r w:rsidR="007B16C2" w:rsidRPr="007B16C2">
        <w:rPr>
          <w:rFonts w:cs="PostGrotesk-Book"/>
          <w:color w:val="55565A"/>
          <w:sz w:val="22"/>
          <w:szCs w:val="22"/>
        </w:rPr>
        <w:t xml:space="preserve">Given the vast volume of information processed or held by </w:t>
      </w:r>
      <w:r w:rsidR="007C4B36">
        <w:rPr>
          <w:rFonts w:cs="PostGrotesk-Book"/>
          <w:color w:val="55565A"/>
          <w:sz w:val="22"/>
          <w:szCs w:val="22"/>
        </w:rPr>
        <w:t xml:space="preserve">Victorian </w:t>
      </w:r>
      <w:r w:rsidR="007B16C2" w:rsidRPr="007B16C2">
        <w:rPr>
          <w:rFonts w:cs="PostGrotesk-Book"/>
          <w:color w:val="55565A"/>
          <w:sz w:val="22"/>
          <w:szCs w:val="22"/>
        </w:rPr>
        <w:t xml:space="preserve">public sector </w:t>
      </w:r>
      <w:r w:rsidR="007C4B36">
        <w:rPr>
          <w:rFonts w:cs="PostGrotesk-Book"/>
          <w:color w:val="55565A"/>
          <w:sz w:val="22"/>
          <w:szCs w:val="22"/>
        </w:rPr>
        <w:t>(</w:t>
      </w:r>
      <w:r w:rsidR="007C4B36" w:rsidRPr="000F52EA">
        <w:rPr>
          <w:rFonts w:cs="PostGrotesk-Book"/>
          <w:b/>
          <w:bCs/>
          <w:color w:val="55565A"/>
          <w:sz w:val="22"/>
          <w:szCs w:val="22"/>
        </w:rPr>
        <w:t>VPS</w:t>
      </w:r>
      <w:r w:rsidR="007C4B36">
        <w:rPr>
          <w:rFonts w:cs="PostGrotesk-Book"/>
          <w:color w:val="55565A"/>
          <w:sz w:val="22"/>
          <w:szCs w:val="22"/>
        </w:rPr>
        <w:t xml:space="preserve">) </w:t>
      </w:r>
      <w:r w:rsidR="007B16C2" w:rsidRPr="007B16C2">
        <w:rPr>
          <w:rFonts w:cs="PostGrotesk-Book"/>
          <w:color w:val="55565A"/>
          <w:sz w:val="22"/>
          <w:szCs w:val="22"/>
        </w:rPr>
        <w:t>organisations secure management of</w:t>
      </w:r>
      <w:r>
        <w:rPr>
          <w:rFonts w:cs="PostGrotesk-Book"/>
          <w:color w:val="55565A"/>
          <w:sz w:val="22"/>
          <w:szCs w:val="22"/>
        </w:rPr>
        <w:t xml:space="preserve"> </w:t>
      </w:r>
      <w:r w:rsidR="006F16AE">
        <w:rPr>
          <w:rFonts w:cs="PostGrotesk-Book"/>
          <w:color w:val="55565A"/>
          <w:sz w:val="22"/>
          <w:szCs w:val="22"/>
        </w:rPr>
        <w:t>public sector</w:t>
      </w:r>
      <w:r w:rsidR="007B16C2" w:rsidRPr="007B16C2">
        <w:rPr>
          <w:rFonts w:cs="PostGrotesk-Book"/>
          <w:color w:val="55565A"/>
          <w:sz w:val="22"/>
          <w:szCs w:val="22"/>
        </w:rPr>
        <w:t xml:space="preserve"> information, assets and services is critical to service delivery</w:t>
      </w:r>
      <w:r>
        <w:rPr>
          <w:rFonts w:cs="PostGrotesk-Book"/>
          <w:color w:val="55565A"/>
          <w:sz w:val="22"/>
          <w:szCs w:val="22"/>
        </w:rPr>
        <w:t xml:space="preserve"> and</w:t>
      </w:r>
      <w:r w:rsidR="007B16C2" w:rsidRPr="007B16C2">
        <w:rPr>
          <w:rFonts w:cs="PostGrotesk-Book"/>
          <w:color w:val="55565A"/>
          <w:sz w:val="22"/>
          <w:szCs w:val="22"/>
        </w:rPr>
        <w:t xml:space="preserve"> public </w:t>
      </w:r>
      <w:r w:rsidR="000F52EA" w:rsidRPr="007B16C2">
        <w:rPr>
          <w:rFonts w:cs="PostGrotesk-Book"/>
          <w:color w:val="55565A"/>
          <w:sz w:val="22"/>
          <w:szCs w:val="22"/>
        </w:rPr>
        <w:t>safety.</w:t>
      </w:r>
      <w:r w:rsidR="007B16C2" w:rsidRPr="007B16C2">
        <w:rPr>
          <w:rFonts w:cs="PostGrotesk-Book"/>
          <w:color w:val="55565A"/>
          <w:sz w:val="22"/>
          <w:szCs w:val="22"/>
        </w:rPr>
        <w:t xml:space="preserve"> By implementing protective security measures, VPS organisations can </w:t>
      </w:r>
      <w:r>
        <w:rPr>
          <w:rFonts w:cs="PostGrotesk-Book"/>
          <w:color w:val="55565A"/>
          <w:sz w:val="22"/>
          <w:szCs w:val="22"/>
        </w:rPr>
        <w:t xml:space="preserve">protect </w:t>
      </w:r>
      <w:r w:rsidR="007B16C2" w:rsidRPr="007B16C2">
        <w:rPr>
          <w:rFonts w:cs="PostGrotesk-Book"/>
          <w:color w:val="55565A"/>
          <w:sz w:val="22"/>
          <w:szCs w:val="22"/>
        </w:rPr>
        <w:t>information against a range of threats.</w:t>
      </w:r>
    </w:p>
    <w:p w14:paraId="6421F093" w14:textId="77777777" w:rsidR="007B16C2" w:rsidRPr="007B16C2" w:rsidRDefault="007B16C2" w:rsidP="007B16C2">
      <w:pPr>
        <w:autoSpaceDE w:val="0"/>
        <w:autoSpaceDN w:val="0"/>
        <w:adjustRightInd w:val="0"/>
        <w:rPr>
          <w:rFonts w:cs="PostGrotesk-Book"/>
          <w:color w:val="55565A"/>
          <w:sz w:val="22"/>
          <w:szCs w:val="22"/>
        </w:rPr>
      </w:pPr>
    </w:p>
    <w:p w14:paraId="0517331D" w14:textId="4BE55479" w:rsidR="007B16C2" w:rsidRDefault="007B16C2" w:rsidP="007B16C2">
      <w:pPr>
        <w:autoSpaceDE w:val="0"/>
        <w:autoSpaceDN w:val="0"/>
        <w:adjustRightInd w:val="0"/>
        <w:rPr>
          <w:rFonts w:cs="PostGrotesk-Book"/>
          <w:color w:val="55565A"/>
          <w:sz w:val="22"/>
          <w:szCs w:val="22"/>
        </w:rPr>
      </w:pPr>
      <w:r w:rsidRPr="007B16C2">
        <w:rPr>
          <w:rFonts w:cs="PostGrotesk-Book"/>
          <w:color w:val="55565A"/>
          <w:sz w:val="22"/>
          <w:szCs w:val="22"/>
        </w:rPr>
        <w:t>The guiding principles of the Victorian Protective Data Security (</w:t>
      </w:r>
      <w:r w:rsidRPr="007B16C2">
        <w:rPr>
          <w:rFonts w:cs="PostGrotesk-Book"/>
          <w:b/>
          <w:bCs/>
          <w:color w:val="55565A"/>
          <w:sz w:val="22"/>
          <w:szCs w:val="22"/>
        </w:rPr>
        <w:t>Framework</w:t>
      </w:r>
      <w:r w:rsidRPr="007B16C2">
        <w:rPr>
          <w:rFonts w:cs="PostGrotesk-Book"/>
          <w:color w:val="55565A"/>
          <w:sz w:val="22"/>
          <w:szCs w:val="22"/>
        </w:rPr>
        <w:t>) and Victorian Protective Data Security Standards (</w:t>
      </w:r>
      <w:r w:rsidRPr="007B16C2">
        <w:rPr>
          <w:rFonts w:cs="PostGrotesk-Book"/>
          <w:b/>
          <w:bCs/>
          <w:color w:val="55565A"/>
          <w:sz w:val="22"/>
          <w:szCs w:val="22"/>
        </w:rPr>
        <w:t>Standards</w:t>
      </w:r>
      <w:r w:rsidRPr="007B16C2">
        <w:rPr>
          <w:rFonts w:cs="PostGrotesk-Book"/>
          <w:color w:val="55565A"/>
          <w:sz w:val="22"/>
          <w:szCs w:val="22"/>
        </w:rPr>
        <w:t>) enable VPS organisations to evaluate their current and prospective security practices.</w:t>
      </w:r>
      <w:r w:rsidR="00365A31">
        <w:rPr>
          <w:rFonts w:cs="PostGrotesk-Book"/>
          <w:color w:val="55565A"/>
          <w:sz w:val="22"/>
          <w:szCs w:val="22"/>
        </w:rPr>
        <w:br/>
      </w:r>
    </w:p>
    <w:p w14:paraId="34915CC3" w14:textId="7CB16974" w:rsidR="00365A31" w:rsidRPr="000F52EA" w:rsidRDefault="00365A31" w:rsidP="007B16C2">
      <w:pPr>
        <w:autoSpaceDE w:val="0"/>
        <w:autoSpaceDN w:val="0"/>
        <w:adjustRightInd w:val="0"/>
        <w:rPr>
          <w:rFonts w:cs="PostGrotesk-Book"/>
          <w:b/>
          <w:bCs/>
          <w:color w:val="55565A"/>
          <w:sz w:val="22"/>
          <w:szCs w:val="22"/>
        </w:rPr>
      </w:pPr>
      <w:r w:rsidRPr="000F52EA">
        <w:rPr>
          <w:rFonts w:cs="PostGrotesk-Book"/>
          <w:b/>
          <w:bCs/>
          <w:color w:val="55565A"/>
          <w:sz w:val="22"/>
          <w:szCs w:val="22"/>
        </w:rPr>
        <w:t>Guiding Principles</w:t>
      </w:r>
    </w:p>
    <w:p w14:paraId="66108EBD" w14:textId="77777777" w:rsidR="007B16C2" w:rsidRPr="007B16C2" w:rsidRDefault="007B16C2" w:rsidP="007B16C2">
      <w:pPr>
        <w:autoSpaceDE w:val="0"/>
        <w:autoSpaceDN w:val="0"/>
        <w:adjustRightInd w:val="0"/>
        <w:rPr>
          <w:rFonts w:cs="PostGrotesk-Book"/>
          <w:color w:val="55565A"/>
          <w:sz w:val="22"/>
          <w:szCs w:val="22"/>
        </w:rPr>
      </w:pPr>
    </w:p>
    <w:p w14:paraId="2440D323" w14:textId="77777777" w:rsidR="007B16C2" w:rsidRPr="007B16C2" w:rsidRDefault="007B16C2" w:rsidP="00812D7B">
      <w:pPr>
        <w:numPr>
          <w:ilvl w:val="1"/>
          <w:numId w:val="18"/>
        </w:numPr>
        <w:autoSpaceDE w:val="0"/>
        <w:autoSpaceDN w:val="0"/>
        <w:adjustRightInd w:val="0"/>
        <w:ind w:left="426" w:hanging="426"/>
        <w:rPr>
          <w:rFonts w:cs="PostGrotesk-Book"/>
          <w:color w:val="55565A"/>
          <w:sz w:val="22"/>
          <w:szCs w:val="22"/>
        </w:rPr>
      </w:pPr>
      <w:r w:rsidRPr="007B16C2">
        <w:rPr>
          <w:rFonts w:cs="PostGrotesk-Book"/>
          <w:b/>
          <w:bCs/>
          <w:color w:val="55565A"/>
          <w:sz w:val="22"/>
          <w:szCs w:val="22"/>
        </w:rPr>
        <w:t>Strong governance</w:t>
      </w:r>
      <w:r w:rsidRPr="007B16C2">
        <w:rPr>
          <w:rFonts w:cs="PostGrotesk-Book"/>
          <w:color w:val="55565A"/>
          <w:sz w:val="22"/>
          <w:szCs w:val="22"/>
        </w:rPr>
        <w:t xml:space="preserve"> arrangements ensure the protective data security requirements of the business are reflected in organisational planning.</w:t>
      </w:r>
    </w:p>
    <w:p w14:paraId="65F09D76" w14:textId="77777777" w:rsidR="007B16C2" w:rsidRPr="007B16C2" w:rsidRDefault="007B16C2" w:rsidP="00812D7B">
      <w:pPr>
        <w:autoSpaceDE w:val="0"/>
        <w:autoSpaceDN w:val="0"/>
        <w:adjustRightInd w:val="0"/>
        <w:ind w:left="426" w:hanging="426"/>
        <w:rPr>
          <w:rFonts w:cs="PostGrotesk-Book"/>
          <w:color w:val="55565A"/>
          <w:sz w:val="22"/>
          <w:szCs w:val="22"/>
        </w:rPr>
      </w:pPr>
    </w:p>
    <w:p w14:paraId="5AD5971A" w14:textId="77777777" w:rsidR="007B16C2" w:rsidRPr="007B16C2" w:rsidRDefault="007B16C2" w:rsidP="00812D7B">
      <w:pPr>
        <w:numPr>
          <w:ilvl w:val="1"/>
          <w:numId w:val="18"/>
        </w:numPr>
        <w:autoSpaceDE w:val="0"/>
        <w:autoSpaceDN w:val="0"/>
        <w:adjustRightInd w:val="0"/>
        <w:ind w:left="426" w:hanging="426"/>
        <w:rPr>
          <w:rFonts w:cs="PostGrotesk-Book"/>
          <w:color w:val="55565A"/>
          <w:sz w:val="22"/>
          <w:szCs w:val="22"/>
        </w:rPr>
      </w:pPr>
      <w:r w:rsidRPr="007B16C2">
        <w:rPr>
          <w:rFonts w:cs="PostGrotesk-Book"/>
          <w:b/>
          <w:bCs/>
          <w:color w:val="55565A"/>
          <w:sz w:val="22"/>
          <w:szCs w:val="22"/>
        </w:rPr>
        <w:t>Risk management</w:t>
      </w:r>
      <w:r w:rsidRPr="007B16C2">
        <w:rPr>
          <w:rFonts w:cs="PostGrotesk-Book"/>
          <w:color w:val="55565A"/>
          <w:sz w:val="22"/>
          <w:szCs w:val="22"/>
        </w:rPr>
        <w:t xml:space="preserve"> empowers an organisation to make informed decisions and prioritise security eﬀorts.</w:t>
      </w:r>
    </w:p>
    <w:p w14:paraId="4F12951D" w14:textId="77777777" w:rsidR="007B16C2" w:rsidRPr="007B16C2" w:rsidRDefault="007B16C2" w:rsidP="00812D7B">
      <w:pPr>
        <w:autoSpaceDE w:val="0"/>
        <w:autoSpaceDN w:val="0"/>
        <w:adjustRightInd w:val="0"/>
        <w:ind w:left="426" w:hanging="426"/>
        <w:rPr>
          <w:rFonts w:cs="PostGrotesk-Book"/>
          <w:color w:val="55565A"/>
          <w:sz w:val="22"/>
          <w:szCs w:val="22"/>
        </w:rPr>
      </w:pPr>
    </w:p>
    <w:p w14:paraId="16EF5D1E" w14:textId="04326416" w:rsidR="007B16C2" w:rsidRPr="007B16C2" w:rsidRDefault="007B16C2" w:rsidP="00812D7B">
      <w:pPr>
        <w:numPr>
          <w:ilvl w:val="1"/>
          <w:numId w:val="18"/>
        </w:numPr>
        <w:autoSpaceDE w:val="0"/>
        <w:autoSpaceDN w:val="0"/>
        <w:adjustRightInd w:val="0"/>
        <w:ind w:left="426" w:hanging="426"/>
        <w:rPr>
          <w:rFonts w:cs="PostGrotesk-Book"/>
          <w:color w:val="55565A"/>
          <w:sz w:val="22"/>
          <w:szCs w:val="22"/>
        </w:rPr>
      </w:pPr>
      <w:r w:rsidRPr="007B16C2">
        <w:rPr>
          <w:rFonts w:cs="PostGrotesk-Book"/>
          <w:color w:val="55565A"/>
          <w:sz w:val="22"/>
          <w:szCs w:val="22"/>
        </w:rPr>
        <w:t>Understanding</w:t>
      </w:r>
      <w:r w:rsidR="00365A31">
        <w:rPr>
          <w:rFonts w:cs="PostGrotesk-Book"/>
          <w:color w:val="55565A"/>
          <w:sz w:val="22"/>
          <w:szCs w:val="22"/>
        </w:rPr>
        <w:t xml:space="preserve"> </w:t>
      </w:r>
      <w:r w:rsidR="00365A31" w:rsidRPr="000F52EA">
        <w:rPr>
          <w:rFonts w:cs="PostGrotesk-Book"/>
          <w:b/>
          <w:bCs/>
          <w:color w:val="55565A"/>
          <w:sz w:val="22"/>
          <w:szCs w:val="22"/>
        </w:rPr>
        <w:t>the value of</w:t>
      </w:r>
      <w:r w:rsidRPr="007B16C2">
        <w:rPr>
          <w:rFonts w:cs="PostGrotesk-Book"/>
          <w:color w:val="55565A"/>
          <w:sz w:val="22"/>
          <w:szCs w:val="22"/>
        </w:rPr>
        <w:t xml:space="preserve"> </w:t>
      </w:r>
      <w:r w:rsidRPr="007B16C2">
        <w:rPr>
          <w:rFonts w:cs="PostGrotesk-Book"/>
          <w:b/>
          <w:bCs/>
          <w:color w:val="55565A"/>
          <w:sz w:val="22"/>
          <w:szCs w:val="22"/>
        </w:rPr>
        <w:t xml:space="preserve">information </w:t>
      </w:r>
      <w:r w:rsidRPr="007B16C2">
        <w:rPr>
          <w:rFonts w:cs="PostGrotesk-Book"/>
          <w:color w:val="55565A"/>
          <w:sz w:val="22"/>
          <w:szCs w:val="22"/>
        </w:rPr>
        <w:t>informs an organisation’s application of security measures to protect information.</w:t>
      </w:r>
    </w:p>
    <w:p w14:paraId="77D40ABB" w14:textId="77777777" w:rsidR="007B16C2" w:rsidRPr="007B16C2" w:rsidRDefault="007B16C2" w:rsidP="00812D7B">
      <w:pPr>
        <w:autoSpaceDE w:val="0"/>
        <w:autoSpaceDN w:val="0"/>
        <w:adjustRightInd w:val="0"/>
        <w:ind w:left="426" w:hanging="426"/>
        <w:rPr>
          <w:rFonts w:cs="PostGrotesk-Book"/>
          <w:color w:val="55565A"/>
          <w:sz w:val="22"/>
          <w:szCs w:val="22"/>
        </w:rPr>
      </w:pPr>
    </w:p>
    <w:p w14:paraId="1CACA90A" w14:textId="77777777" w:rsidR="007B16C2" w:rsidRPr="007B16C2" w:rsidRDefault="007B16C2" w:rsidP="00812D7B">
      <w:pPr>
        <w:numPr>
          <w:ilvl w:val="1"/>
          <w:numId w:val="18"/>
        </w:numPr>
        <w:autoSpaceDE w:val="0"/>
        <w:autoSpaceDN w:val="0"/>
        <w:adjustRightInd w:val="0"/>
        <w:ind w:left="426" w:hanging="426"/>
        <w:rPr>
          <w:rFonts w:cs="PostGrotesk-Book"/>
          <w:color w:val="55565A"/>
          <w:sz w:val="22"/>
          <w:szCs w:val="22"/>
        </w:rPr>
      </w:pPr>
      <w:r w:rsidRPr="007B16C2">
        <w:rPr>
          <w:rFonts w:cs="PostGrotesk-Book"/>
          <w:color w:val="55565A"/>
          <w:sz w:val="22"/>
          <w:szCs w:val="22"/>
        </w:rPr>
        <w:t xml:space="preserve">A </w:t>
      </w:r>
      <w:r w:rsidRPr="007B16C2">
        <w:rPr>
          <w:rFonts w:cs="PostGrotesk-Book"/>
          <w:b/>
          <w:bCs/>
          <w:color w:val="55565A"/>
          <w:sz w:val="22"/>
          <w:szCs w:val="22"/>
        </w:rPr>
        <w:t>positive security culture</w:t>
      </w:r>
      <w:r w:rsidRPr="007B16C2">
        <w:rPr>
          <w:rFonts w:cs="PostGrotesk-Book"/>
          <w:color w:val="55565A"/>
          <w:sz w:val="22"/>
          <w:szCs w:val="22"/>
        </w:rPr>
        <w:t xml:space="preserve"> with clear personal accountability and a mature understanding of managing risk, responsibility and reputation allows an organisation to function eﬀectively and support the delivery of government services.</w:t>
      </w:r>
    </w:p>
    <w:p w14:paraId="26DD96E9" w14:textId="77777777" w:rsidR="007B16C2" w:rsidRPr="007B16C2" w:rsidRDefault="007B16C2" w:rsidP="00812D7B">
      <w:pPr>
        <w:autoSpaceDE w:val="0"/>
        <w:autoSpaceDN w:val="0"/>
        <w:adjustRightInd w:val="0"/>
        <w:ind w:left="426" w:hanging="426"/>
        <w:rPr>
          <w:rFonts w:cs="PostGrotesk-Book"/>
          <w:color w:val="55565A"/>
          <w:sz w:val="22"/>
          <w:szCs w:val="22"/>
        </w:rPr>
      </w:pPr>
    </w:p>
    <w:p w14:paraId="1DF33DEA" w14:textId="77777777" w:rsidR="007B16C2" w:rsidRPr="007B16C2" w:rsidRDefault="007B16C2" w:rsidP="00812D7B">
      <w:pPr>
        <w:numPr>
          <w:ilvl w:val="1"/>
          <w:numId w:val="18"/>
        </w:numPr>
        <w:autoSpaceDE w:val="0"/>
        <w:autoSpaceDN w:val="0"/>
        <w:adjustRightInd w:val="0"/>
        <w:ind w:left="426" w:hanging="426"/>
        <w:rPr>
          <w:rFonts w:cs="PostGrotesk-Book"/>
          <w:color w:val="55565A"/>
          <w:sz w:val="22"/>
          <w:szCs w:val="22"/>
        </w:rPr>
      </w:pPr>
      <w:r w:rsidRPr="007B16C2">
        <w:rPr>
          <w:rFonts w:cs="PostGrotesk-Book"/>
          <w:color w:val="55565A"/>
          <w:sz w:val="22"/>
          <w:szCs w:val="22"/>
        </w:rPr>
        <w:t xml:space="preserve">A </w:t>
      </w:r>
      <w:r w:rsidRPr="007B16C2">
        <w:rPr>
          <w:rFonts w:cs="PostGrotesk-Book"/>
          <w:b/>
          <w:bCs/>
          <w:color w:val="55565A"/>
          <w:sz w:val="22"/>
          <w:szCs w:val="22"/>
        </w:rPr>
        <w:t>continuous improvement lifecycle model</w:t>
      </w:r>
      <w:r w:rsidRPr="007B16C2">
        <w:rPr>
          <w:rFonts w:cs="PostGrotesk-Book"/>
          <w:color w:val="55565A"/>
          <w:sz w:val="22"/>
          <w:szCs w:val="22"/>
        </w:rPr>
        <w:t xml:space="preserve"> enables an organisation to systematically identify opportunities to mature its protective data security practices.</w:t>
      </w:r>
    </w:p>
    <w:p w14:paraId="179B089C" w14:textId="77777777" w:rsidR="007B16C2" w:rsidRPr="007B16C2" w:rsidRDefault="007B16C2" w:rsidP="00812D7B">
      <w:pPr>
        <w:autoSpaceDE w:val="0"/>
        <w:autoSpaceDN w:val="0"/>
        <w:adjustRightInd w:val="0"/>
        <w:ind w:left="426" w:hanging="426"/>
        <w:rPr>
          <w:rFonts w:cs="PostGrotesk-Book"/>
          <w:color w:val="55565A"/>
          <w:sz w:val="22"/>
          <w:szCs w:val="22"/>
        </w:rPr>
      </w:pPr>
    </w:p>
    <w:p w14:paraId="4AE34BA7" w14:textId="07F175A0" w:rsidR="00812D7B" w:rsidRDefault="007B16C2" w:rsidP="00812D7B">
      <w:pPr>
        <w:numPr>
          <w:ilvl w:val="1"/>
          <w:numId w:val="18"/>
        </w:numPr>
        <w:autoSpaceDE w:val="0"/>
        <w:autoSpaceDN w:val="0"/>
        <w:adjustRightInd w:val="0"/>
        <w:ind w:left="426" w:hanging="426"/>
        <w:rPr>
          <w:rFonts w:cs="PostGrotesk-Book"/>
          <w:color w:val="55565A"/>
          <w:sz w:val="22"/>
          <w:szCs w:val="22"/>
        </w:rPr>
      </w:pPr>
      <w:r w:rsidRPr="007B16C2">
        <w:rPr>
          <w:rFonts w:cs="PostGrotesk-Book"/>
          <w:color w:val="55565A"/>
          <w:sz w:val="22"/>
          <w:szCs w:val="22"/>
        </w:rPr>
        <w:t xml:space="preserve">Sound protective data security practices assist an organisation to achieve its objectives in an </w:t>
      </w:r>
      <w:r w:rsidRPr="007B16C2">
        <w:rPr>
          <w:rFonts w:cs="PostGrotesk-Book"/>
          <w:b/>
          <w:bCs/>
          <w:color w:val="55565A"/>
          <w:sz w:val="22"/>
          <w:szCs w:val="22"/>
        </w:rPr>
        <w:t>eﬃcient, eﬀective and economic</w:t>
      </w:r>
      <w:r w:rsidRPr="007B16C2">
        <w:rPr>
          <w:rFonts w:cs="PostGrotesk-Book"/>
          <w:color w:val="55565A"/>
          <w:sz w:val="22"/>
          <w:szCs w:val="22"/>
        </w:rPr>
        <w:t xml:space="preserve"> manner.</w:t>
      </w:r>
    </w:p>
    <w:p w14:paraId="553A32B9" w14:textId="77777777" w:rsidR="00812D7B" w:rsidRDefault="00812D7B">
      <w:pPr>
        <w:rPr>
          <w:rFonts w:cs="PostGrotesk-Book"/>
          <w:color w:val="55565A"/>
          <w:sz w:val="22"/>
          <w:szCs w:val="22"/>
        </w:rPr>
      </w:pPr>
      <w:r>
        <w:rPr>
          <w:rFonts w:cs="PostGrotesk-Book"/>
          <w:color w:val="55565A"/>
          <w:sz w:val="22"/>
          <w:szCs w:val="22"/>
        </w:rPr>
        <w:br w:type="page"/>
      </w:r>
    </w:p>
    <w:p w14:paraId="0CDA286D" w14:textId="4B453388" w:rsidR="007B16C2" w:rsidRDefault="007B16C2" w:rsidP="00812D7B">
      <w:pPr>
        <w:pStyle w:val="SectionHeading1"/>
        <w:numPr>
          <w:ilvl w:val="0"/>
          <w:numId w:val="22"/>
        </w:numPr>
        <w:ind w:left="426" w:hanging="426"/>
      </w:pPr>
      <w:bookmarkStart w:id="1" w:name="_Toc25069537"/>
      <w:bookmarkStart w:id="2" w:name="_Toc31984089"/>
      <w:r>
        <w:lastRenderedPageBreak/>
        <w:t>Governance</w:t>
      </w:r>
      <w:bookmarkEnd w:id="1"/>
      <w:bookmarkEnd w:id="2"/>
      <w:r>
        <w:t xml:space="preserve"> </w:t>
      </w:r>
    </w:p>
    <w:p w14:paraId="284DA083" w14:textId="77777777" w:rsidR="007B16C2" w:rsidRPr="007B16C2" w:rsidRDefault="007B16C2" w:rsidP="007B16C2">
      <w:pPr>
        <w:pStyle w:val="BodyText"/>
        <w:rPr>
          <w:rFonts w:ascii="Calibri" w:eastAsia="Calibri" w:hAnsi="Calibri" w:cs="PostGrotesk-Book"/>
          <w:b/>
          <w:bCs/>
          <w:i/>
          <w:iCs/>
          <w:color w:val="55565A"/>
          <w:sz w:val="22"/>
          <w:szCs w:val="22"/>
          <w:lang w:val="en-GB" w:bidi="ar-SA"/>
        </w:rPr>
      </w:pPr>
      <w:r w:rsidRPr="007B16C2">
        <w:rPr>
          <w:rFonts w:ascii="Calibri" w:eastAsia="Calibri" w:hAnsi="Calibri" w:cs="PostGrotesk-Book"/>
          <w:b/>
          <w:bCs/>
          <w:i/>
          <w:iCs/>
          <w:color w:val="55565A"/>
          <w:sz w:val="22"/>
          <w:szCs w:val="22"/>
          <w:lang w:val="en-GB" w:bidi="ar-SA"/>
        </w:rPr>
        <w:t>Principle 1: Strong governance arrangements ensure the protective data security requirements of the business are reflected in organisational planning.</w:t>
      </w:r>
    </w:p>
    <w:p w14:paraId="45137CEF" w14:textId="77777777" w:rsidR="007B16C2" w:rsidRPr="007B16C2" w:rsidRDefault="007B16C2" w:rsidP="007B16C2">
      <w:pPr>
        <w:pStyle w:val="BodyText"/>
        <w:rPr>
          <w:rFonts w:ascii="Calibri" w:eastAsia="Calibri" w:hAnsi="Calibri" w:cs="PostGrotesk-Book"/>
          <w:i/>
          <w:iCs/>
          <w:color w:val="55565A"/>
          <w:sz w:val="22"/>
          <w:szCs w:val="22"/>
          <w:lang w:val="en-GB" w:bidi="ar-SA"/>
        </w:rPr>
      </w:pPr>
    </w:p>
    <w:p w14:paraId="17ACB145" w14:textId="4BDEF98B" w:rsidR="007B16C2" w:rsidRPr="007B16C2" w:rsidRDefault="007B16C2" w:rsidP="007B16C2">
      <w:pPr>
        <w:pStyle w:val="BodyText"/>
        <w:rPr>
          <w:rFonts w:ascii="Calibri" w:eastAsia="Calibri" w:hAnsi="Calibri" w:cs="PostGrotesk-Book"/>
          <w:color w:val="55565A"/>
          <w:sz w:val="22"/>
          <w:szCs w:val="22"/>
          <w:lang w:val="en-GB" w:bidi="ar-SA"/>
        </w:rPr>
      </w:pPr>
      <w:r w:rsidRPr="007B16C2">
        <w:rPr>
          <w:rFonts w:ascii="Calibri" w:eastAsia="Calibri" w:hAnsi="Calibri" w:cs="PostGrotesk-Book"/>
          <w:color w:val="55565A"/>
          <w:sz w:val="22"/>
          <w:szCs w:val="22"/>
          <w:lang w:val="en-GB" w:bidi="ar-SA"/>
        </w:rPr>
        <w:t>The Australian National Audit Oﬃce (</w:t>
      </w:r>
      <w:r w:rsidRPr="000F52EA">
        <w:rPr>
          <w:rFonts w:ascii="Calibri" w:eastAsia="Calibri" w:hAnsi="Calibri" w:cs="PostGrotesk-Book"/>
          <w:b/>
          <w:bCs/>
          <w:color w:val="55565A"/>
          <w:sz w:val="22"/>
          <w:szCs w:val="22"/>
          <w:lang w:val="en-GB" w:bidi="ar-SA"/>
        </w:rPr>
        <w:t>ANAO</w:t>
      </w:r>
      <w:r w:rsidRPr="007B16C2">
        <w:rPr>
          <w:rFonts w:ascii="Calibri" w:eastAsia="Calibri" w:hAnsi="Calibri" w:cs="PostGrotesk-Book"/>
          <w:color w:val="55565A"/>
          <w:sz w:val="22"/>
          <w:szCs w:val="22"/>
          <w:lang w:val="en-GB" w:bidi="ar-SA"/>
        </w:rPr>
        <w:t>) defines ‘public sector governance’ as</w:t>
      </w:r>
      <w:r w:rsidR="00365A31">
        <w:rPr>
          <w:rFonts w:ascii="Calibri" w:eastAsia="Calibri" w:hAnsi="Calibri" w:cs="PostGrotesk-Book"/>
          <w:color w:val="55565A"/>
          <w:sz w:val="22"/>
          <w:szCs w:val="22"/>
          <w:lang w:val="en-GB" w:bidi="ar-SA"/>
        </w:rPr>
        <w:t>:</w:t>
      </w:r>
    </w:p>
    <w:p w14:paraId="571972BD" w14:textId="77777777" w:rsidR="007B16C2" w:rsidRPr="00F621B9" w:rsidRDefault="007B16C2" w:rsidP="007B16C2">
      <w:pPr>
        <w:pStyle w:val="BodyText"/>
        <w:rPr>
          <w:rFonts w:ascii="AppleSystemUIFont" w:hAnsi="AppleSystemUIFont" w:cs="AppleSystemUIFont"/>
        </w:rPr>
      </w:pPr>
    </w:p>
    <w:p w14:paraId="0653B23A" w14:textId="77777777" w:rsidR="007B16C2" w:rsidRPr="00F621B9" w:rsidRDefault="007B16C2" w:rsidP="00812D7B">
      <w:pPr>
        <w:pStyle w:val="BodyText"/>
        <w:ind w:left="567"/>
        <w:rPr>
          <w:rFonts w:ascii="AppleSystemUIFont" w:hAnsi="AppleSystemUIFont" w:cs="AppleSystemUIFont"/>
        </w:rPr>
      </w:pPr>
      <w:r w:rsidRPr="007B16C2">
        <w:rPr>
          <w:rFonts w:ascii="Calibri" w:eastAsia="Calibri" w:hAnsi="Calibri" w:cs="PostGrotesk-Book"/>
          <w:i/>
          <w:iCs/>
          <w:color w:val="55565A"/>
          <w:sz w:val="22"/>
          <w:szCs w:val="22"/>
          <w:lang w:val="en-GB" w:bidi="ar-SA"/>
        </w:rPr>
        <w:t>How an organisation is managed, its corporate and other structures, its culture, its policies and strategies and the way it deals with its various stakeholders. The concept encompasses the manner in which public sector organisations acquit their responsibilities of stewardship by being open, accountable and prudent in decision- making, in providing policy advice, and in managing and delivering programs</w:t>
      </w:r>
      <w:r w:rsidRPr="00F621B9">
        <w:rPr>
          <w:rStyle w:val="FootnoteReference"/>
          <w:rFonts w:ascii="AppleSystemUIFont" w:hAnsi="AppleSystemUIFont" w:cs="AppleSystemUIFont"/>
          <w:i/>
          <w:iCs/>
          <w:color w:val="353535"/>
        </w:rPr>
        <w:footnoteReference w:id="1"/>
      </w:r>
      <w:r w:rsidRPr="00F621B9">
        <w:rPr>
          <w:rFonts w:ascii="AppleSystemUIFont" w:hAnsi="AppleSystemUIFont" w:cs="AppleSystemUIFont"/>
        </w:rPr>
        <w:t>.</w:t>
      </w:r>
    </w:p>
    <w:p w14:paraId="53E90E52" w14:textId="77777777" w:rsidR="007B16C2" w:rsidRPr="007B16C2" w:rsidRDefault="007B16C2" w:rsidP="007B16C2">
      <w:pPr>
        <w:pStyle w:val="BodyText"/>
        <w:rPr>
          <w:rFonts w:ascii="Calibri" w:eastAsia="Calibri" w:hAnsi="Calibri" w:cs="PostGrotesk-Book"/>
          <w:color w:val="55565A"/>
          <w:sz w:val="22"/>
          <w:szCs w:val="22"/>
          <w:lang w:val="en-GB" w:bidi="ar-SA"/>
        </w:rPr>
      </w:pPr>
    </w:p>
    <w:p w14:paraId="2ED742EC" w14:textId="67026D65" w:rsidR="007B16C2" w:rsidRPr="007B16C2" w:rsidRDefault="007B16C2" w:rsidP="007B16C2">
      <w:pPr>
        <w:pStyle w:val="BodyText"/>
        <w:rPr>
          <w:rFonts w:ascii="Calibri" w:eastAsia="Calibri" w:hAnsi="Calibri" w:cs="PostGrotesk-Book"/>
          <w:color w:val="55565A"/>
          <w:sz w:val="22"/>
          <w:szCs w:val="22"/>
          <w:lang w:val="en-GB" w:bidi="ar-SA"/>
        </w:rPr>
      </w:pPr>
      <w:r w:rsidRPr="007B16C2">
        <w:rPr>
          <w:rFonts w:ascii="Calibri" w:eastAsia="Calibri" w:hAnsi="Calibri" w:cs="PostGrotesk-Book"/>
          <w:color w:val="55565A"/>
          <w:sz w:val="22"/>
          <w:szCs w:val="22"/>
          <w:lang w:val="en-GB" w:bidi="ar-SA"/>
        </w:rPr>
        <w:t xml:space="preserve">Given the </w:t>
      </w:r>
      <w:r w:rsidR="007C4B36">
        <w:rPr>
          <w:rFonts w:ascii="Calibri" w:eastAsia="Calibri" w:hAnsi="Calibri" w:cs="PostGrotesk-Book"/>
          <w:color w:val="55565A"/>
          <w:sz w:val="22"/>
          <w:szCs w:val="22"/>
          <w:lang w:val="en-GB" w:bidi="ar-SA"/>
        </w:rPr>
        <w:t xml:space="preserve">breadth </w:t>
      </w:r>
      <w:r w:rsidRPr="007B16C2">
        <w:rPr>
          <w:rFonts w:ascii="Calibri" w:eastAsia="Calibri" w:hAnsi="Calibri" w:cs="PostGrotesk-Book"/>
          <w:color w:val="55565A"/>
          <w:sz w:val="22"/>
          <w:szCs w:val="22"/>
          <w:lang w:val="en-GB" w:bidi="ar-SA"/>
        </w:rPr>
        <w:t>of organisations across the</w:t>
      </w:r>
      <w:r w:rsidR="007C4B36">
        <w:rPr>
          <w:rFonts w:ascii="Calibri" w:eastAsia="Calibri" w:hAnsi="Calibri" w:cs="PostGrotesk-Book"/>
          <w:color w:val="55565A"/>
          <w:sz w:val="22"/>
          <w:szCs w:val="22"/>
          <w:lang w:val="en-GB" w:bidi="ar-SA"/>
        </w:rPr>
        <w:t xml:space="preserve"> VPS</w:t>
      </w:r>
      <w:r w:rsidRPr="007B16C2">
        <w:rPr>
          <w:rFonts w:ascii="Calibri" w:eastAsia="Calibri" w:hAnsi="Calibri" w:cs="PostGrotesk-Book"/>
          <w:color w:val="55565A"/>
          <w:sz w:val="22"/>
          <w:szCs w:val="22"/>
          <w:lang w:val="en-GB" w:bidi="ar-SA"/>
        </w:rPr>
        <w:t xml:space="preserve">, OVIC recognises that governance arrangements can take many forms. Under the Framework, your organisation is expected to establish security governance arrangements that reflect </w:t>
      </w:r>
      <w:r w:rsidR="007C4B36">
        <w:rPr>
          <w:rFonts w:ascii="Calibri" w:eastAsia="Calibri" w:hAnsi="Calibri" w:cs="PostGrotesk-Book"/>
          <w:color w:val="55565A"/>
          <w:sz w:val="22"/>
          <w:szCs w:val="22"/>
          <w:lang w:val="en-GB" w:bidi="ar-SA"/>
        </w:rPr>
        <w:t>its</w:t>
      </w:r>
      <w:r w:rsidRPr="007B16C2">
        <w:rPr>
          <w:rFonts w:ascii="Calibri" w:eastAsia="Calibri" w:hAnsi="Calibri" w:cs="PostGrotesk-Book"/>
          <w:color w:val="55565A"/>
          <w:sz w:val="22"/>
          <w:szCs w:val="22"/>
          <w:lang w:val="en-GB" w:bidi="ar-SA"/>
        </w:rPr>
        <w:t xml:space="preserve"> individual circumstances, and base policies and processes on sound risk management. This approach balances the benefits and potential costs of protective data security activities, ensuring security measures reflect the value of information.</w:t>
      </w:r>
    </w:p>
    <w:p w14:paraId="132F1720" w14:textId="77777777" w:rsidR="007B16C2" w:rsidRPr="007B16C2" w:rsidRDefault="007B16C2" w:rsidP="007B16C2">
      <w:pPr>
        <w:pStyle w:val="BodyText"/>
        <w:rPr>
          <w:rFonts w:ascii="Calibri" w:eastAsia="Calibri" w:hAnsi="Calibri" w:cs="PostGrotesk-Book"/>
          <w:color w:val="55565A"/>
          <w:sz w:val="22"/>
          <w:szCs w:val="22"/>
          <w:lang w:val="en-GB" w:bidi="ar-SA"/>
        </w:rPr>
      </w:pPr>
    </w:p>
    <w:p w14:paraId="1096F3BB" w14:textId="0AD186A4" w:rsidR="007B16C2" w:rsidRPr="007B16C2" w:rsidRDefault="007B16C2" w:rsidP="007B16C2">
      <w:pPr>
        <w:pStyle w:val="BodyText"/>
        <w:rPr>
          <w:rFonts w:ascii="Calibri" w:eastAsia="Calibri" w:hAnsi="Calibri" w:cs="PostGrotesk-Book"/>
          <w:color w:val="55565A"/>
          <w:sz w:val="22"/>
          <w:szCs w:val="22"/>
          <w:lang w:val="en-GB" w:bidi="ar-SA"/>
        </w:rPr>
      </w:pPr>
      <w:r w:rsidRPr="007B16C2">
        <w:rPr>
          <w:rFonts w:ascii="Calibri" w:eastAsia="Calibri" w:hAnsi="Calibri" w:cs="PostGrotesk-Book"/>
          <w:color w:val="55565A"/>
          <w:sz w:val="22"/>
          <w:szCs w:val="22"/>
          <w:lang w:val="en-GB" w:bidi="ar-SA"/>
        </w:rPr>
        <w:t xml:space="preserve">The evolving environment in which VPS organisations operate, and the need for enhanced secure information sharing practices across governments, </w:t>
      </w:r>
      <w:r w:rsidR="007C4B36">
        <w:rPr>
          <w:rFonts w:ascii="Calibri" w:eastAsia="Calibri" w:hAnsi="Calibri" w:cs="PostGrotesk-Book"/>
          <w:color w:val="55565A"/>
          <w:sz w:val="22"/>
          <w:szCs w:val="22"/>
          <w:lang w:val="en-GB" w:bidi="ar-SA"/>
        </w:rPr>
        <w:t xml:space="preserve">highlight </w:t>
      </w:r>
      <w:r w:rsidRPr="007B16C2">
        <w:rPr>
          <w:rFonts w:ascii="Calibri" w:eastAsia="Calibri" w:hAnsi="Calibri" w:cs="PostGrotesk-Book"/>
          <w:color w:val="55565A"/>
          <w:sz w:val="22"/>
          <w:szCs w:val="22"/>
          <w:lang w:val="en-GB" w:bidi="ar-SA"/>
        </w:rPr>
        <w:t>the critical function that public sector governance plays.</w:t>
      </w:r>
    </w:p>
    <w:p w14:paraId="0A10FCE4" w14:textId="77777777" w:rsidR="007B16C2" w:rsidRPr="007B16C2" w:rsidRDefault="007B16C2" w:rsidP="007B16C2">
      <w:pPr>
        <w:pStyle w:val="BodyText"/>
        <w:rPr>
          <w:rFonts w:ascii="Calibri" w:eastAsia="Calibri" w:hAnsi="Calibri" w:cs="PostGrotesk-Book"/>
          <w:color w:val="55565A"/>
          <w:sz w:val="22"/>
          <w:szCs w:val="22"/>
          <w:lang w:val="en-GB" w:bidi="ar-SA"/>
        </w:rPr>
      </w:pPr>
    </w:p>
    <w:p w14:paraId="48C273E5" w14:textId="367925AC" w:rsidR="007B16C2" w:rsidRPr="007B16C2" w:rsidRDefault="007B16C2" w:rsidP="007B16C2">
      <w:pPr>
        <w:pStyle w:val="BodyText"/>
        <w:rPr>
          <w:rFonts w:ascii="Calibri" w:eastAsia="Calibri" w:hAnsi="Calibri" w:cs="PostGrotesk-Book"/>
          <w:color w:val="55565A"/>
          <w:sz w:val="22"/>
          <w:szCs w:val="22"/>
          <w:lang w:val="en-GB" w:bidi="ar-SA"/>
        </w:rPr>
      </w:pPr>
      <w:r w:rsidRPr="007B16C2">
        <w:rPr>
          <w:rFonts w:ascii="Calibri" w:eastAsia="Calibri" w:hAnsi="Calibri" w:cs="PostGrotesk-Book"/>
          <w:color w:val="55565A"/>
          <w:sz w:val="22"/>
          <w:szCs w:val="22"/>
          <w:lang w:val="en-GB" w:bidi="ar-SA"/>
        </w:rPr>
        <w:t>By initiating robust governance arrangements, your organisation can direct and control processes for</w:t>
      </w:r>
      <w:r w:rsidR="007C4B36">
        <w:rPr>
          <w:rFonts w:ascii="Calibri" w:eastAsia="Calibri" w:hAnsi="Calibri" w:cs="PostGrotesk-Book"/>
          <w:color w:val="55565A"/>
          <w:sz w:val="22"/>
          <w:szCs w:val="22"/>
          <w:lang w:val="en-GB" w:bidi="ar-SA"/>
        </w:rPr>
        <w:t xml:space="preserve"> the</w:t>
      </w:r>
      <w:r w:rsidRPr="007B16C2">
        <w:rPr>
          <w:rFonts w:ascii="Calibri" w:eastAsia="Calibri" w:hAnsi="Calibri" w:cs="PostGrotesk-Book"/>
          <w:color w:val="55565A"/>
          <w:sz w:val="22"/>
          <w:szCs w:val="22"/>
          <w:lang w:val="en-GB" w:bidi="ar-SA"/>
        </w:rPr>
        <w:t xml:space="preserve"> protection of your information. This includes </w:t>
      </w:r>
      <w:r w:rsidR="007C4B36">
        <w:rPr>
          <w:rFonts w:ascii="Calibri" w:eastAsia="Calibri" w:hAnsi="Calibri" w:cs="PostGrotesk-Book"/>
          <w:color w:val="55565A"/>
          <w:sz w:val="22"/>
          <w:szCs w:val="22"/>
          <w:lang w:val="en-GB" w:bidi="ar-SA"/>
        </w:rPr>
        <w:t>senior management and executives</w:t>
      </w:r>
      <w:r w:rsidR="007C4B36" w:rsidRPr="007B16C2">
        <w:rPr>
          <w:rFonts w:ascii="Calibri" w:eastAsia="Calibri" w:hAnsi="Calibri" w:cs="PostGrotesk-Book"/>
          <w:color w:val="55565A"/>
          <w:sz w:val="22"/>
          <w:szCs w:val="22"/>
          <w:lang w:val="en-GB" w:bidi="ar-SA"/>
        </w:rPr>
        <w:t xml:space="preserve"> </w:t>
      </w:r>
      <w:r w:rsidR="007C4B36">
        <w:rPr>
          <w:rFonts w:ascii="Calibri" w:eastAsia="Calibri" w:hAnsi="Calibri" w:cs="PostGrotesk-Book"/>
          <w:color w:val="55565A"/>
          <w:sz w:val="22"/>
          <w:szCs w:val="22"/>
          <w:lang w:val="en-GB" w:bidi="ar-SA"/>
        </w:rPr>
        <w:t xml:space="preserve">prioritising </w:t>
      </w:r>
      <w:r w:rsidRPr="007B16C2">
        <w:rPr>
          <w:rFonts w:ascii="Calibri" w:eastAsia="Calibri" w:hAnsi="Calibri" w:cs="PostGrotesk-Book"/>
          <w:color w:val="55565A"/>
          <w:sz w:val="22"/>
          <w:szCs w:val="22"/>
          <w:lang w:val="en-GB" w:bidi="ar-SA"/>
        </w:rPr>
        <w:t xml:space="preserve">protective data security through authority, accountability, stewardship, leadership, direction and ensuring all personnel understand their role in </w:t>
      </w:r>
      <w:r w:rsidR="007C4B36">
        <w:rPr>
          <w:rFonts w:ascii="Calibri" w:eastAsia="Calibri" w:hAnsi="Calibri" w:cs="PostGrotesk-Book"/>
          <w:color w:val="55565A"/>
          <w:sz w:val="22"/>
          <w:szCs w:val="22"/>
          <w:lang w:val="en-GB" w:bidi="ar-SA"/>
        </w:rPr>
        <w:t xml:space="preserve">protecting </w:t>
      </w:r>
      <w:r w:rsidRPr="007B16C2">
        <w:rPr>
          <w:rFonts w:ascii="Calibri" w:eastAsia="Calibri" w:hAnsi="Calibri" w:cs="PostGrotesk-Book"/>
          <w:color w:val="55565A"/>
          <w:sz w:val="22"/>
          <w:szCs w:val="22"/>
          <w:lang w:val="en-GB" w:bidi="ar-SA"/>
        </w:rPr>
        <w:t>information.</w:t>
      </w:r>
    </w:p>
    <w:p w14:paraId="66E4F374" w14:textId="77777777" w:rsidR="007B16C2" w:rsidRPr="007B16C2" w:rsidRDefault="007B16C2" w:rsidP="007B16C2">
      <w:pPr>
        <w:pStyle w:val="BodyText"/>
        <w:rPr>
          <w:rFonts w:ascii="Calibri" w:eastAsia="Calibri" w:hAnsi="Calibri" w:cs="PostGrotesk-Book"/>
          <w:color w:val="55565A"/>
          <w:sz w:val="22"/>
          <w:szCs w:val="22"/>
          <w:lang w:val="en-GB" w:bidi="ar-SA"/>
        </w:rPr>
      </w:pPr>
    </w:p>
    <w:p w14:paraId="785C8C1E" w14:textId="60A711FF" w:rsidR="007B16C2" w:rsidRPr="007B16C2" w:rsidRDefault="007B16C2" w:rsidP="007B16C2">
      <w:pPr>
        <w:pStyle w:val="BodyText"/>
        <w:rPr>
          <w:rFonts w:ascii="Calibri" w:eastAsia="Calibri" w:hAnsi="Calibri" w:cs="PostGrotesk-Book"/>
          <w:color w:val="55565A"/>
          <w:sz w:val="22"/>
          <w:szCs w:val="22"/>
          <w:lang w:val="en-GB" w:bidi="ar-SA"/>
        </w:rPr>
      </w:pPr>
      <w:r w:rsidRPr="007B16C2">
        <w:rPr>
          <w:rFonts w:ascii="Calibri" w:eastAsia="Calibri" w:hAnsi="Calibri" w:cs="PostGrotesk-Book"/>
          <w:color w:val="55565A"/>
          <w:sz w:val="22"/>
          <w:szCs w:val="22"/>
          <w:lang w:val="en-GB" w:bidi="ar-SA"/>
        </w:rPr>
        <w:t xml:space="preserve">By embedding </w:t>
      </w:r>
      <w:r w:rsidR="007C4B36">
        <w:rPr>
          <w:rFonts w:ascii="Calibri" w:eastAsia="Calibri" w:hAnsi="Calibri" w:cs="PostGrotesk-Book"/>
          <w:color w:val="55565A"/>
          <w:sz w:val="22"/>
          <w:szCs w:val="22"/>
          <w:lang w:val="en-GB" w:bidi="ar-SA"/>
        </w:rPr>
        <w:t>strong</w:t>
      </w:r>
      <w:r w:rsidR="007C4B36" w:rsidRPr="007B16C2">
        <w:rPr>
          <w:rFonts w:ascii="Calibri" w:eastAsia="Calibri" w:hAnsi="Calibri" w:cs="PostGrotesk-Book"/>
          <w:color w:val="55565A"/>
          <w:sz w:val="22"/>
          <w:szCs w:val="22"/>
          <w:lang w:val="en-GB" w:bidi="ar-SA"/>
        </w:rPr>
        <w:t xml:space="preserve"> </w:t>
      </w:r>
      <w:r w:rsidRPr="007B16C2">
        <w:rPr>
          <w:rFonts w:ascii="Calibri" w:eastAsia="Calibri" w:hAnsi="Calibri" w:cs="PostGrotesk-Book"/>
          <w:color w:val="55565A"/>
          <w:sz w:val="22"/>
          <w:szCs w:val="22"/>
          <w:lang w:val="en-GB" w:bidi="ar-SA"/>
        </w:rPr>
        <w:t xml:space="preserve">governance policies and practices and ensuring these measures reflect changing needs, your organisation will better </w:t>
      </w:r>
      <w:proofErr w:type="gramStart"/>
      <w:r w:rsidRPr="007B16C2">
        <w:rPr>
          <w:rFonts w:ascii="Calibri" w:eastAsia="Calibri" w:hAnsi="Calibri" w:cs="PostGrotesk-Book"/>
          <w:color w:val="55565A"/>
          <w:sz w:val="22"/>
          <w:szCs w:val="22"/>
          <w:lang w:val="en-GB" w:bidi="ar-SA"/>
        </w:rPr>
        <w:t>prepared</w:t>
      </w:r>
      <w:proofErr w:type="gramEnd"/>
      <w:r w:rsidRPr="007B16C2">
        <w:rPr>
          <w:rFonts w:ascii="Calibri" w:eastAsia="Calibri" w:hAnsi="Calibri" w:cs="PostGrotesk-Book"/>
          <w:color w:val="55565A"/>
          <w:sz w:val="22"/>
          <w:szCs w:val="22"/>
          <w:lang w:val="en-GB" w:bidi="ar-SA"/>
        </w:rPr>
        <w:t xml:space="preserve"> to face the challenges of protective data security.</w:t>
      </w:r>
    </w:p>
    <w:p w14:paraId="11785915" w14:textId="77777777" w:rsidR="007B16C2" w:rsidRDefault="007B16C2" w:rsidP="007B16C2">
      <w:pPr>
        <w:pStyle w:val="BodyText"/>
        <w:rPr>
          <w:rFonts w:ascii="AppleSystemUIFont" w:hAnsi="AppleSystemUIFont" w:cs="AppleSystemUIFont"/>
        </w:rPr>
      </w:pPr>
    </w:p>
    <w:p w14:paraId="50FE299C" w14:textId="77777777" w:rsidR="007B16C2" w:rsidRPr="00F621B9" w:rsidRDefault="007B16C2" w:rsidP="007B16C2">
      <w:pPr>
        <w:pStyle w:val="BodyText"/>
        <w:rPr>
          <w:rFonts w:ascii="AppleSystemUIFont" w:hAnsi="AppleSystemUIFont" w:cs="AppleSystemUIFont"/>
        </w:rPr>
      </w:pPr>
    </w:p>
    <w:p w14:paraId="418F1B3D" w14:textId="046A4DAA" w:rsidR="007B16C2" w:rsidRDefault="007B16C2" w:rsidP="00812D7B">
      <w:pPr>
        <w:pStyle w:val="SectionHeading1"/>
        <w:numPr>
          <w:ilvl w:val="0"/>
          <w:numId w:val="22"/>
        </w:numPr>
        <w:ind w:left="426" w:hanging="426"/>
      </w:pPr>
      <w:bookmarkStart w:id="3" w:name="_Toc25069538"/>
      <w:bookmarkStart w:id="4" w:name="_Toc31984090"/>
      <w:r>
        <w:t xml:space="preserve">Risk </w:t>
      </w:r>
      <w:r w:rsidR="00AC1C6A">
        <w:t>m</w:t>
      </w:r>
      <w:r>
        <w:t>anagement</w:t>
      </w:r>
      <w:bookmarkEnd w:id="3"/>
      <w:bookmarkEnd w:id="4"/>
      <w:r>
        <w:t xml:space="preserve"> </w:t>
      </w:r>
    </w:p>
    <w:p w14:paraId="2A14DDA3" w14:textId="77777777" w:rsidR="007B16C2" w:rsidRPr="007B16C2" w:rsidRDefault="007B16C2" w:rsidP="007B16C2">
      <w:pPr>
        <w:pStyle w:val="BodyText"/>
        <w:rPr>
          <w:rFonts w:ascii="Calibri" w:eastAsia="Calibri" w:hAnsi="Calibri" w:cs="PostGrotesk-Book"/>
          <w:b/>
          <w:bCs/>
          <w:i/>
          <w:iCs/>
          <w:color w:val="55565A"/>
          <w:sz w:val="22"/>
          <w:szCs w:val="22"/>
          <w:lang w:val="en-GB" w:bidi="ar-SA"/>
        </w:rPr>
      </w:pPr>
      <w:r w:rsidRPr="007B16C2">
        <w:rPr>
          <w:rFonts w:ascii="Calibri" w:eastAsia="Calibri" w:hAnsi="Calibri" w:cs="PostGrotesk-Book"/>
          <w:b/>
          <w:bCs/>
          <w:i/>
          <w:iCs/>
          <w:color w:val="55565A"/>
          <w:sz w:val="22"/>
          <w:szCs w:val="22"/>
          <w:lang w:val="en-GB" w:bidi="ar-SA"/>
        </w:rPr>
        <w:t>Principle 2: Risk management empowers organisations to make informed decisions and prioritise security eﬀorts.</w:t>
      </w:r>
    </w:p>
    <w:p w14:paraId="7D876DF5" w14:textId="77777777" w:rsidR="007B16C2" w:rsidRPr="007B16C2" w:rsidRDefault="007B16C2" w:rsidP="007B16C2">
      <w:pPr>
        <w:pStyle w:val="BodyText"/>
        <w:rPr>
          <w:rFonts w:ascii="Calibri" w:eastAsia="Calibri" w:hAnsi="Calibri" w:cs="PostGrotesk-Book"/>
          <w:color w:val="55565A"/>
          <w:sz w:val="22"/>
          <w:szCs w:val="22"/>
          <w:lang w:val="en-GB" w:bidi="ar-SA"/>
        </w:rPr>
      </w:pPr>
    </w:p>
    <w:p w14:paraId="4F92559A" w14:textId="77777777" w:rsidR="007B16C2" w:rsidRPr="007B16C2" w:rsidRDefault="007B16C2" w:rsidP="007B16C2">
      <w:pPr>
        <w:pStyle w:val="BodyText"/>
        <w:rPr>
          <w:rFonts w:ascii="Calibri" w:eastAsia="Calibri" w:hAnsi="Calibri" w:cs="PostGrotesk-Book"/>
          <w:color w:val="55565A"/>
          <w:sz w:val="22"/>
          <w:szCs w:val="22"/>
          <w:lang w:val="en-GB" w:bidi="ar-SA"/>
        </w:rPr>
      </w:pPr>
      <w:r w:rsidRPr="007B16C2">
        <w:rPr>
          <w:rFonts w:ascii="Calibri" w:eastAsia="Calibri" w:hAnsi="Calibri" w:cs="PostGrotesk-Book"/>
          <w:color w:val="55565A"/>
          <w:sz w:val="22"/>
          <w:szCs w:val="22"/>
          <w:lang w:val="en-GB" w:bidi="ar-SA"/>
        </w:rPr>
        <w:t>Within Victorian Government risk management is defined as</w:t>
      </w:r>
    </w:p>
    <w:p w14:paraId="3BEAC9B1" w14:textId="77777777" w:rsidR="007B16C2" w:rsidRPr="00C369BF" w:rsidRDefault="007B16C2" w:rsidP="007B16C2">
      <w:pPr>
        <w:pStyle w:val="BodyText"/>
        <w:rPr>
          <w:rFonts w:ascii="AppleSystemUIFont" w:hAnsi="AppleSystemUIFont" w:cs="AppleSystemUIFont"/>
        </w:rPr>
      </w:pPr>
    </w:p>
    <w:p w14:paraId="39484F7C" w14:textId="77777777" w:rsidR="007B16C2" w:rsidRDefault="007B16C2" w:rsidP="00812D7B">
      <w:pPr>
        <w:pStyle w:val="BodyText"/>
        <w:ind w:left="567"/>
        <w:rPr>
          <w:rFonts w:ascii="AppleSystemUIFont" w:hAnsi="AppleSystemUIFont" w:cs="AppleSystemUIFont"/>
        </w:rPr>
      </w:pPr>
      <w:r w:rsidRPr="007B16C2">
        <w:rPr>
          <w:rFonts w:ascii="Calibri" w:eastAsia="Calibri" w:hAnsi="Calibri" w:cs="PostGrotesk-Book"/>
          <w:i/>
          <w:iCs/>
          <w:color w:val="55565A"/>
          <w:sz w:val="22"/>
          <w:szCs w:val="22"/>
          <w:lang w:val="en-GB" w:bidi="ar-SA"/>
        </w:rPr>
        <w:t>the combination of organisational systems, processes and culture which facilitate the identification, assessment, evaluation and treatment of risk to achieve an appropriate balance between realising opportunities while minimising losses in the pursuit of strategic objectives</w:t>
      </w:r>
      <w:r w:rsidRPr="00C369BF">
        <w:rPr>
          <w:rStyle w:val="FootnoteReference"/>
          <w:rFonts w:ascii="AppleSystemUIFont" w:hAnsi="AppleSystemUIFont" w:cs="AppleSystemUIFont"/>
          <w:i/>
          <w:iCs/>
          <w:color w:val="353535"/>
        </w:rPr>
        <w:footnoteReference w:id="2"/>
      </w:r>
      <w:r w:rsidRPr="00C369BF">
        <w:rPr>
          <w:rFonts w:ascii="AppleSystemUIFont" w:hAnsi="AppleSystemUIFont" w:cs="AppleSystemUIFont"/>
        </w:rPr>
        <w:t>.</w:t>
      </w:r>
    </w:p>
    <w:p w14:paraId="261E2D21" w14:textId="77777777" w:rsidR="007B16C2" w:rsidRPr="00C369BF" w:rsidRDefault="007B16C2" w:rsidP="007B16C2">
      <w:pPr>
        <w:pStyle w:val="BodyText"/>
        <w:ind w:left="720"/>
        <w:rPr>
          <w:rFonts w:ascii="AppleSystemUIFont" w:hAnsi="AppleSystemUIFont" w:cs="AppleSystemUIFont"/>
        </w:rPr>
      </w:pPr>
    </w:p>
    <w:p w14:paraId="6EB5FFBC" w14:textId="77777777" w:rsidR="007B16C2" w:rsidRPr="007B16C2" w:rsidRDefault="007B16C2" w:rsidP="007B16C2">
      <w:pPr>
        <w:pStyle w:val="BodyText"/>
        <w:rPr>
          <w:rFonts w:ascii="Calibri" w:eastAsia="Calibri" w:hAnsi="Calibri" w:cs="PostGrotesk-Book"/>
          <w:color w:val="55565A"/>
          <w:sz w:val="22"/>
          <w:szCs w:val="22"/>
          <w:lang w:val="en-GB" w:bidi="ar-SA"/>
        </w:rPr>
      </w:pPr>
      <w:r w:rsidRPr="007B16C2">
        <w:rPr>
          <w:rFonts w:ascii="Calibri" w:eastAsia="Calibri" w:hAnsi="Calibri" w:cs="PostGrotesk-Book"/>
          <w:color w:val="55565A"/>
          <w:sz w:val="22"/>
          <w:szCs w:val="22"/>
          <w:lang w:val="en-GB" w:bidi="ar-SA"/>
        </w:rPr>
        <w:t>A risk management approach requires your organisation to ensure information is always adequately protected, by continually assessing security measures against any new or updated threats and vulnerabilities.</w:t>
      </w:r>
    </w:p>
    <w:p w14:paraId="5316916E" w14:textId="77777777" w:rsidR="00812D7B" w:rsidRDefault="00812D7B">
      <w:pPr>
        <w:rPr>
          <w:rFonts w:cs="PostGrotesk-Book"/>
          <w:color w:val="55565A"/>
          <w:sz w:val="22"/>
          <w:szCs w:val="22"/>
        </w:rPr>
      </w:pPr>
      <w:r>
        <w:rPr>
          <w:rFonts w:cs="PostGrotesk-Book"/>
          <w:color w:val="55565A"/>
          <w:sz w:val="22"/>
          <w:szCs w:val="22"/>
        </w:rPr>
        <w:br w:type="page"/>
      </w:r>
    </w:p>
    <w:p w14:paraId="200D3B87" w14:textId="1A6295B9" w:rsidR="007B16C2" w:rsidRPr="007B16C2" w:rsidRDefault="007B16C2" w:rsidP="007B16C2">
      <w:pPr>
        <w:pStyle w:val="BodyText"/>
        <w:rPr>
          <w:rFonts w:ascii="Calibri" w:eastAsia="Calibri" w:hAnsi="Calibri" w:cs="PostGrotesk-Book"/>
          <w:color w:val="55565A"/>
          <w:sz w:val="22"/>
          <w:szCs w:val="22"/>
          <w:lang w:val="en-GB" w:bidi="ar-SA"/>
        </w:rPr>
      </w:pPr>
      <w:r w:rsidRPr="007B16C2">
        <w:rPr>
          <w:rFonts w:ascii="Calibri" w:eastAsia="Calibri" w:hAnsi="Calibri" w:cs="PostGrotesk-Book"/>
          <w:color w:val="55565A"/>
          <w:sz w:val="22"/>
          <w:szCs w:val="22"/>
          <w:lang w:val="en-GB" w:bidi="ar-SA"/>
        </w:rPr>
        <w:lastRenderedPageBreak/>
        <w:t>The adoption of a risk-based approach consistent with the Victorian Government Risk Management Framework (</w:t>
      </w:r>
      <w:r w:rsidRPr="000F52EA">
        <w:rPr>
          <w:rFonts w:ascii="Calibri" w:eastAsia="Calibri" w:hAnsi="Calibri" w:cs="PostGrotesk-Book"/>
          <w:b/>
          <w:bCs/>
          <w:color w:val="55565A"/>
          <w:sz w:val="22"/>
          <w:szCs w:val="22"/>
          <w:lang w:val="en-GB" w:bidi="ar-SA"/>
        </w:rPr>
        <w:t>VGRMF</w:t>
      </w:r>
      <w:r w:rsidRPr="007B16C2">
        <w:rPr>
          <w:rFonts w:ascii="Calibri" w:eastAsia="Calibri" w:hAnsi="Calibri" w:cs="PostGrotesk-Book"/>
          <w:color w:val="55565A"/>
          <w:sz w:val="22"/>
          <w:szCs w:val="22"/>
          <w:lang w:val="en-GB" w:bidi="ar-SA"/>
        </w:rPr>
        <w:t xml:space="preserve">) is the fundamental principle of the Framework and Standards. </w:t>
      </w:r>
      <w:r w:rsidR="002A36A6">
        <w:rPr>
          <w:rFonts w:ascii="Calibri" w:eastAsia="Calibri" w:hAnsi="Calibri" w:cs="PostGrotesk-Book"/>
          <w:color w:val="55565A"/>
          <w:sz w:val="22"/>
          <w:szCs w:val="22"/>
          <w:lang w:val="en-GB" w:bidi="ar-SA"/>
        </w:rPr>
        <w:t xml:space="preserve">This </w:t>
      </w:r>
      <w:r w:rsidRPr="007B16C2">
        <w:rPr>
          <w:rFonts w:ascii="Calibri" w:eastAsia="Calibri" w:hAnsi="Calibri" w:cs="PostGrotesk-Book"/>
          <w:color w:val="55565A"/>
          <w:sz w:val="22"/>
          <w:szCs w:val="22"/>
          <w:lang w:val="en-GB" w:bidi="ar-SA"/>
        </w:rPr>
        <w:t>flexible approach to implement</w:t>
      </w:r>
      <w:r w:rsidR="007C4B36">
        <w:rPr>
          <w:rFonts w:ascii="Calibri" w:eastAsia="Calibri" w:hAnsi="Calibri" w:cs="PostGrotesk-Book"/>
          <w:color w:val="55565A"/>
          <w:sz w:val="22"/>
          <w:szCs w:val="22"/>
          <w:lang w:val="en-GB" w:bidi="ar-SA"/>
        </w:rPr>
        <w:t>ing</w:t>
      </w:r>
      <w:r w:rsidRPr="007B16C2">
        <w:rPr>
          <w:rFonts w:ascii="Calibri" w:eastAsia="Calibri" w:hAnsi="Calibri" w:cs="PostGrotesk-Book"/>
          <w:color w:val="55565A"/>
          <w:sz w:val="22"/>
          <w:szCs w:val="22"/>
          <w:lang w:val="en-GB" w:bidi="ar-SA"/>
        </w:rPr>
        <w:t xml:space="preserve"> security measures provides your organisation with the autonomy to interpret your business needs and articulate your risk tolerance within your operating environment.</w:t>
      </w:r>
    </w:p>
    <w:p w14:paraId="36B15F3E" w14:textId="77777777" w:rsidR="007B16C2" w:rsidRPr="007B16C2" w:rsidRDefault="007B16C2" w:rsidP="007B16C2">
      <w:pPr>
        <w:pStyle w:val="BodyText"/>
        <w:rPr>
          <w:rFonts w:ascii="Calibri" w:eastAsia="Calibri" w:hAnsi="Calibri" w:cs="PostGrotesk-Book"/>
          <w:color w:val="55565A"/>
          <w:sz w:val="22"/>
          <w:szCs w:val="22"/>
          <w:lang w:val="en-GB" w:bidi="ar-SA"/>
        </w:rPr>
      </w:pPr>
    </w:p>
    <w:p w14:paraId="4D9FA603" w14:textId="7463EFD5" w:rsidR="007B16C2" w:rsidRPr="007B16C2" w:rsidRDefault="0041597C" w:rsidP="007B16C2">
      <w:pPr>
        <w:pStyle w:val="BodyText"/>
        <w:rPr>
          <w:rFonts w:ascii="Calibri" w:eastAsia="Calibri" w:hAnsi="Calibri" w:cs="PostGrotesk-Book"/>
          <w:color w:val="55565A"/>
          <w:sz w:val="22"/>
          <w:szCs w:val="22"/>
          <w:lang w:val="en-GB" w:bidi="ar-SA"/>
        </w:rPr>
      </w:pPr>
      <w:r>
        <w:rPr>
          <w:rFonts w:ascii="Calibri" w:eastAsia="Calibri" w:hAnsi="Calibri" w:cs="PostGrotesk-Book"/>
          <w:color w:val="55565A"/>
          <w:sz w:val="22"/>
          <w:szCs w:val="22"/>
          <w:lang w:val="en-GB" w:bidi="ar-SA"/>
        </w:rPr>
        <w:t>Senior management and executives</w:t>
      </w:r>
      <w:r w:rsidR="007B16C2" w:rsidRPr="007B16C2">
        <w:rPr>
          <w:rFonts w:ascii="Calibri" w:eastAsia="Calibri" w:hAnsi="Calibri" w:cs="PostGrotesk-Book"/>
          <w:color w:val="55565A"/>
          <w:sz w:val="22"/>
          <w:szCs w:val="22"/>
          <w:lang w:val="en-GB" w:bidi="ar-SA"/>
        </w:rPr>
        <w:t xml:space="preserve"> are expected to understand, prioritise and manage security risks to prevent harm to information and disruption to business objectives.</w:t>
      </w:r>
    </w:p>
    <w:p w14:paraId="00B0AECA" w14:textId="77777777" w:rsidR="007B16C2" w:rsidRPr="00712825" w:rsidRDefault="007B16C2" w:rsidP="00812D7B">
      <w:pPr>
        <w:pStyle w:val="BodyText"/>
        <w:spacing w:before="120"/>
        <w:rPr>
          <w:rFonts w:ascii="AppleSystemUIFont" w:hAnsi="AppleSystemUIFont" w:cs="AppleSystemUIFont"/>
        </w:rPr>
      </w:pPr>
    </w:p>
    <w:p w14:paraId="152E2BDD" w14:textId="77777777" w:rsidR="007B16C2" w:rsidRPr="00AC2FF3" w:rsidRDefault="007B16C2" w:rsidP="00812D7B">
      <w:pPr>
        <w:pStyle w:val="SectionHeading1"/>
        <w:numPr>
          <w:ilvl w:val="0"/>
          <w:numId w:val="22"/>
        </w:numPr>
        <w:ind w:left="426" w:hanging="426"/>
      </w:pPr>
      <w:bookmarkStart w:id="5" w:name="_Toc25069539"/>
      <w:bookmarkStart w:id="6" w:name="_Toc31984091"/>
      <w:r w:rsidRPr="00AC2FF3">
        <w:t>Information value</w:t>
      </w:r>
      <w:bookmarkEnd w:id="5"/>
      <w:bookmarkEnd w:id="6"/>
    </w:p>
    <w:p w14:paraId="275584C5" w14:textId="0073C9B6" w:rsidR="007B16C2" w:rsidRPr="007B16C2" w:rsidRDefault="007B16C2" w:rsidP="007B16C2">
      <w:pPr>
        <w:pStyle w:val="BodyText"/>
        <w:rPr>
          <w:rFonts w:ascii="Calibri" w:eastAsia="Calibri" w:hAnsi="Calibri" w:cs="PostGrotesk-Book"/>
          <w:b/>
          <w:bCs/>
          <w:i/>
          <w:iCs/>
          <w:color w:val="55565A"/>
          <w:sz w:val="22"/>
          <w:szCs w:val="22"/>
          <w:lang w:val="en-GB" w:bidi="ar-SA"/>
        </w:rPr>
      </w:pPr>
      <w:r w:rsidRPr="007B16C2">
        <w:rPr>
          <w:rFonts w:ascii="Calibri" w:eastAsia="Calibri" w:hAnsi="Calibri" w:cs="PostGrotesk-Book"/>
          <w:b/>
          <w:bCs/>
          <w:i/>
          <w:iCs/>
          <w:color w:val="55565A"/>
          <w:sz w:val="22"/>
          <w:szCs w:val="22"/>
          <w:lang w:val="en-GB" w:bidi="ar-SA"/>
        </w:rPr>
        <w:t xml:space="preserve">Principle 3: Understanding </w:t>
      </w:r>
      <w:r w:rsidR="0041597C">
        <w:rPr>
          <w:rFonts w:ascii="Calibri" w:eastAsia="Calibri" w:hAnsi="Calibri" w:cs="PostGrotesk-Book"/>
          <w:b/>
          <w:bCs/>
          <w:i/>
          <w:iCs/>
          <w:color w:val="55565A"/>
          <w:sz w:val="22"/>
          <w:szCs w:val="22"/>
          <w:lang w:val="en-GB" w:bidi="ar-SA"/>
        </w:rPr>
        <w:t xml:space="preserve">the value of </w:t>
      </w:r>
      <w:r w:rsidRPr="007B16C2">
        <w:rPr>
          <w:rFonts w:ascii="Calibri" w:eastAsia="Calibri" w:hAnsi="Calibri" w:cs="PostGrotesk-Book"/>
          <w:b/>
          <w:bCs/>
          <w:i/>
          <w:iCs/>
          <w:color w:val="55565A"/>
          <w:sz w:val="22"/>
          <w:szCs w:val="22"/>
          <w:lang w:val="en-GB" w:bidi="ar-SA"/>
        </w:rPr>
        <w:t>information informs an organisation’s application of security measures to protect public sector data.</w:t>
      </w:r>
    </w:p>
    <w:p w14:paraId="16D3437C" w14:textId="77777777" w:rsidR="007B16C2" w:rsidRPr="007B16C2" w:rsidRDefault="007B16C2" w:rsidP="007B16C2">
      <w:pPr>
        <w:autoSpaceDE w:val="0"/>
        <w:autoSpaceDN w:val="0"/>
        <w:adjustRightInd w:val="0"/>
        <w:rPr>
          <w:rFonts w:cs="PostGrotesk-Book"/>
          <w:color w:val="55565A"/>
          <w:sz w:val="22"/>
          <w:szCs w:val="22"/>
        </w:rPr>
      </w:pPr>
    </w:p>
    <w:p w14:paraId="41D0B9EF" w14:textId="74825BB3" w:rsidR="007B16C2" w:rsidRPr="007B16C2" w:rsidRDefault="007B16C2" w:rsidP="007B16C2">
      <w:pPr>
        <w:pStyle w:val="BodyText"/>
        <w:rPr>
          <w:rFonts w:ascii="Calibri" w:eastAsia="Calibri" w:hAnsi="Calibri" w:cs="PostGrotesk-Book"/>
          <w:color w:val="55565A"/>
          <w:sz w:val="22"/>
          <w:szCs w:val="22"/>
          <w:lang w:val="en-GB" w:bidi="ar-SA"/>
        </w:rPr>
      </w:pPr>
      <w:r w:rsidRPr="007B16C2">
        <w:rPr>
          <w:rFonts w:ascii="Calibri" w:eastAsia="Calibri" w:hAnsi="Calibri" w:cs="PostGrotesk-Book"/>
          <w:color w:val="55565A"/>
          <w:sz w:val="22"/>
          <w:szCs w:val="22"/>
          <w:lang w:val="en-GB" w:bidi="ar-SA"/>
        </w:rPr>
        <w:t>Value refers to the overall importance of information, based on a holistic assessment of</w:t>
      </w:r>
      <w:r w:rsidR="006A73CB">
        <w:rPr>
          <w:rFonts w:ascii="Calibri" w:eastAsia="Calibri" w:hAnsi="Calibri" w:cs="PostGrotesk-Book"/>
          <w:color w:val="55565A"/>
          <w:sz w:val="22"/>
          <w:szCs w:val="22"/>
          <w:lang w:val="en-GB" w:bidi="ar-SA"/>
        </w:rPr>
        <w:t xml:space="preserve"> potential </w:t>
      </w:r>
      <w:r w:rsidR="006A73CB" w:rsidRPr="007B16C2">
        <w:rPr>
          <w:rFonts w:ascii="Calibri" w:eastAsia="Calibri" w:hAnsi="Calibri" w:cs="PostGrotesk-Book"/>
          <w:color w:val="55565A"/>
          <w:sz w:val="22"/>
          <w:szCs w:val="22"/>
          <w:lang w:val="en-GB" w:bidi="ar-SA"/>
        </w:rPr>
        <w:t>compromise</w:t>
      </w:r>
      <w:r w:rsidRPr="007B16C2">
        <w:rPr>
          <w:rFonts w:ascii="Calibri" w:eastAsia="Calibri" w:hAnsi="Calibri" w:cs="PostGrotesk-Book"/>
          <w:color w:val="55565A"/>
          <w:sz w:val="22"/>
          <w:szCs w:val="22"/>
          <w:lang w:val="en-GB" w:bidi="ar-SA"/>
        </w:rPr>
        <w:t xml:space="preserve"> to the confidentiality, integrity and/or availability of information.</w:t>
      </w:r>
    </w:p>
    <w:p w14:paraId="7F79EBC3" w14:textId="77777777" w:rsidR="007B16C2" w:rsidRPr="007B16C2" w:rsidRDefault="007B16C2" w:rsidP="007B16C2">
      <w:pPr>
        <w:pStyle w:val="BodyText"/>
        <w:rPr>
          <w:rFonts w:ascii="Calibri" w:eastAsia="Calibri" w:hAnsi="Calibri" w:cs="PostGrotesk-Book"/>
          <w:color w:val="55565A"/>
          <w:sz w:val="22"/>
          <w:szCs w:val="22"/>
          <w:lang w:val="en-GB" w:bidi="ar-SA"/>
        </w:rPr>
      </w:pPr>
    </w:p>
    <w:p w14:paraId="03568996" w14:textId="668D4A2B" w:rsidR="007B16C2" w:rsidRPr="007B16C2" w:rsidRDefault="007B16C2" w:rsidP="007B16C2">
      <w:pPr>
        <w:pStyle w:val="BodyText"/>
        <w:rPr>
          <w:rFonts w:ascii="Calibri" w:eastAsia="Calibri" w:hAnsi="Calibri" w:cs="PostGrotesk-Book"/>
          <w:color w:val="55565A"/>
          <w:sz w:val="22"/>
          <w:szCs w:val="22"/>
          <w:lang w:val="en-GB" w:bidi="ar-SA"/>
        </w:rPr>
      </w:pPr>
      <w:r w:rsidRPr="007B16C2">
        <w:rPr>
          <w:rFonts w:ascii="Calibri" w:eastAsia="Calibri" w:hAnsi="Calibri" w:cs="PostGrotesk-Book"/>
          <w:color w:val="55565A"/>
          <w:sz w:val="22"/>
          <w:szCs w:val="22"/>
          <w:lang w:val="en-GB" w:bidi="ar-SA"/>
        </w:rPr>
        <w:t>The overall value of information informs security measures needed to fully protect it. The Standards provide organisations with tools to assess this overall value.</w:t>
      </w:r>
    </w:p>
    <w:p w14:paraId="29E8E8C8" w14:textId="77777777" w:rsidR="007B16C2" w:rsidRPr="007B16C2" w:rsidRDefault="007B16C2" w:rsidP="007B16C2">
      <w:pPr>
        <w:pStyle w:val="BodyText"/>
        <w:rPr>
          <w:rFonts w:ascii="Calibri" w:eastAsia="Calibri" w:hAnsi="Calibri" w:cs="PostGrotesk-Book"/>
          <w:color w:val="55565A"/>
          <w:sz w:val="22"/>
          <w:szCs w:val="22"/>
          <w:lang w:val="en-GB" w:bidi="ar-SA"/>
        </w:rPr>
      </w:pPr>
    </w:p>
    <w:p w14:paraId="6736F75A" w14:textId="77777777" w:rsidR="007B16C2" w:rsidRPr="007B16C2" w:rsidRDefault="007B16C2" w:rsidP="007B16C2">
      <w:pPr>
        <w:pStyle w:val="BodyText"/>
        <w:rPr>
          <w:rFonts w:ascii="Calibri" w:eastAsia="Calibri" w:hAnsi="Calibri" w:cs="PostGrotesk-Book"/>
          <w:color w:val="55565A"/>
          <w:sz w:val="22"/>
          <w:szCs w:val="22"/>
          <w:lang w:val="en-GB" w:bidi="ar-SA"/>
        </w:rPr>
      </w:pPr>
      <w:r w:rsidRPr="007B16C2">
        <w:rPr>
          <w:rFonts w:ascii="Calibri" w:eastAsia="Calibri" w:hAnsi="Calibri" w:cs="PostGrotesk-Book"/>
          <w:color w:val="55565A"/>
          <w:sz w:val="22"/>
          <w:szCs w:val="22"/>
          <w:lang w:val="en-GB" w:bidi="ar-SA"/>
        </w:rPr>
        <w:t>Confidentiality, Integrity and Availability (</w:t>
      </w:r>
      <w:r w:rsidRPr="000F52EA">
        <w:rPr>
          <w:rFonts w:ascii="Calibri" w:eastAsia="Calibri" w:hAnsi="Calibri" w:cs="PostGrotesk-Book"/>
          <w:b/>
          <w:bCs/>
          <w:color w:val="55565A"/>
          <w:sz w:val="22"/>
          <w:szCs w:val="22"/>
          <w:lang w:val="en-GB" w:bidi="ar-SA"/>
        </w:rPr>
        <w:t>CIA</w:t>
      </w:r>
      <w:r w:rsidRPr="007B16C2">
        <w:rPr>
          <w:rFonts w:ascii="Calibri" w:eastAsia="Calibri" w:hAnsi="Calibri" w:cs="PostGrotesk-Book"/>
          <w:color w:val="55565A"/>
          <w:sz w:val="22"/>
          <w:szCs w:val="22"/>
          <w:lang w:val="en-GB" w:bidi="ar-SA"/>
        </w:rPr>
        <w:t>) are widely recognised as the traditional security attributes of information management and are commonly referred to as the CIA triad.</w:t>
      </w:r>
    </w:p>
    <w:p w14:paraId="47691EDE" w14:textId="56126CDF" w:rsidR="007B16C2" w:rsidRDefault="00812D7B" w:rsidP="00812D7B">
      <w:pPr>
        <w:pStyle w:val="DocumentTitle"/>
        <w:spacing w:before="240"/>
        <w:ind w:left="-283"/>
        <w:jc w:val="center"/>
      </w:pPr>
      <w:r>
        <w:rPr>
          <w:noProof/>
        </w:rPr>
        <w:drawing>
          <wp:inline distT="0" distB="0" distL="0" distR="0" wp14:anchorId="1BE78400" wp14:editId="26DC80E9">
            <wp:extent cx="3223034" cy="2743193"/>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rmation-value.png"/>
                    <pic:cNvPicPr/>
                  </pic:nvPicPr>
                  <pic:blipFill>
                    <a:blip r:embed="rId11">
                      <a:extLst>
                        <a:ext uri="{28A0092B-C50C-407E-A947-70E740481C1C}">
                          <a14:useLocalDpi xmlns:a14="http://schemas.microsoft.com/office/drawing/2010/main" val="0"/>
                        </a:ext>
                      </a:extLst>
                    </a:blip>
                    <a:stretch>
                      <a:fillRect/>
                    </a:stretch>
                  </pic:blipFill>
                  <pic:spPr>
                    <a:xfrm>
                      <a:off x="0" y="0"/>
                      <a:ext cx="3252960" cy="2768664"/>
                    </a:xfrm>
                    <a:prstGeom prst="rect">
                      <a:avLst/>
                    </a:prstGeom>
                  </pic:spPr>
                </pic:pic>
              </a:graphicData>
            </a:graphic>
          </wp:inline>
        </w:drawing>
      </w:r>
    </w:p>
    <w:p w14:paraId="26D208FC" w14:textId="77777777" w:rsidR="007B16C2" w:rsidRPr="00812D7B" w:rsidRDefault="007B16C2" w:rsidP="00812D7B">
      <w:pPr>
        <w:autoSpaceDE w:val="0"/>
        <w:autoSpaceDN w:val="0"/>
        <w:adjustRightInd w:val="0"/>
        <w:spacing w:after="120"/>
        <w:ind w:right="418"/>
        <w:jc w:val="center"/>
        <w:rPr>
          <w:rFonts w:asciiTheme="minorHAnsi" w:hAnsiTheme="minorHAnsi" w:cstheme="minorHAnsi"/>
          <w:color w:val="595959" w:themeColor="text1" w:themeTint="A6"/>
          <w:sz w:val="18"/>
          <w:szCs w:val="18"/>
        </w:rPr>
      </w:pPr>
      <w:r w:rsidRPr="00812D7B">
        <w:rPr>
          <w:rFonts w:asciiTheme="minorHAnsi" w:hAnsiTheme="minorHAnsi" w:cstheme="minorHAnsi"/>
          <w:color w:val="595959" w:themeColor="text1" w:themeTint="A6"/>
          <w:sz w:val="18"/>
          <w:szCs w:val="18"/>
        </w:rPr>
        <w:t>Figure 2. CIA Triad</w:t>
      </w:r>
    </w:p>
    <w:p w14:paraId="62AF7952" w14:textId="77777777" w:rsidR="007B16C2" w:rsidRPr="002D3C1D" w:rsidRDefault="007B16C2" w:rsidP="007B16C2">
      <w:pPr>
        <w:autoSpaceDE w:val="0"/>
        <w:autoSpaceDN w:val="0"/>
        <w:adjustRightInd w:val="0"/>
        <w:jc w:val="right"/>
        <w:rPr>
          <w:rFonts w:asciiTheme="minorHAnsi" w:hAnsiTheme="minorHAnsi" w:cstheme="minorHAnsi"/>
          <w:color w:val="4F81BD" w:themeColor="accent1"/>
          <w:sz w:val="18"/>
          <w:szCs w:val="18"/>
        </w:rPr>
      </w:pPr>
    </w:p>
    <w:tbl>
      <w:tblPr>
        <w:tblStyle w:val="TableGrid"/>
        <w:tblW w:w="0" w:type="auto"/>
        <w:tblLook w:val="04A0" w:firstRow="1" w:lastRow="0" w:firstColumn="1" w:lastColumn="0" w:noHBand="0" w:noVBand="1"/>
      </w:tblPr>
      <w:tblGrid>
        <w:gridCol w:w="1567"/>
        <w:gridCol w:w="7938"/>
      </w:tblGrid>
      <w:tr w:rsidR="007B16C2" w:rsidRPr="007B16C2" w14:paraId="4B03A29D" w14:textId="77777777" w:rsidTr="00812D7B">
        <w:tc>
          <w:tcPr>
            <w:tcW w:w="1271" w:type="dxa"/>
            <w:shd w:val="clear" w:color="auto" w:fill="F2F2F2"/>
            <w:vAlign w:val="center"/>
          </w:tcPr>
          <w:p w14:paraId="00CE2D76" w14:textId="77777777" w:rsidR="007B16C2" w:rsidRPr="007B16C2" w:rsidRDefault="007B16C2" w:rsidP="00812D7B">
            <w:pPr>
              <w:pStyle w:val="BodyText"/>
              <w:spacing w:before="80" w:after="80"/>
              <w:rPr>
                <w:rFonts w:ascii="Calibri" w:eastAsia="Calibri" w:hAnsi="Calibri" w:cs="PostGrotesk-Book"/>
                <w:b/>
                <w:bCs/>
                <w:color w:val="55565A"/>
                <w:sz w:val="22"/>
                <w:szCs w:val="22"/>
                <w:lang w:val="en-GB" w:bidi="ar-SA"/>
              </w:rPr>
            </w:pPr>
            <w:r w:rsidRPr="007B16C2">
              <w:rPr>
                <w:rFonts w:ascii="Calibri" w:eastAsia="Calibri" w:hAnsi="Calibri" w:cs="PostGrotesk-Book"/>
                <w:b/>
                <w:bCs/>
                <w:color w:val="55565A"/>
                <w:sz w:val="22"/>
                <w:szCs w:val="22"/>
                <w:lang w:val="en-GB" w:bidi="ar-SA"/>
              </w:rPr>
              <w:t>Confidentiality</w:t>
            </w:r>
          </w:p>
        </w:tc>
        <w:tc>
          <w:tcPr>
            <w:tcW w:w="7938" w:type="dxa"/>
            <w:shd w:val="clear" w:color="auto" w:fill="F2F2F2"/>
            <w:vAlign w:val="center"/>
          </w:tcPr>
          <w:p w14:paraId="656ABDE3" w14:textId="0DA2916A" w:rsidR="007B16C2" w:rsidRPr="007B16C2" w:rsidRDefault="007B16C2" w:rsidP="00812D7B">
            <w:pPr>
              <w:pStyle w:val="BodyText"/>
              <w:spacing w:before="80" w:after="80"/>
              <w:rPr>
                <w:rFonts w:ascii="Calibri" w:eastAsia="Calibri" w:hAnsi="Calibri" w:cs="PostGrotesk-Book"/>
                <w:color w:val="55565A"/>
                <w:sz w:val="22"/>
                <w:szCs w:val="22"/>
                <w:lang w:val="en-GB" w:bidi="ar-SA"/>
              </w:rPr>
            </w:pPr>
            <w:r w:rsidRPr="007B16C2">
              <w:rPr>
                <w:rFonts w:ascii="Calibri" w:eastAsia="Calibri" w:hAnsi="Calibri" w:cs="PostGrotesk-Book"/>
                <w:color w:val="55565A"/>
                <w:sz w:val="22"/>
                <w:szCs w:val="22"/>
                <w:lang w:val="en-GB" w:bidi="ar-SA"/>
              </w:rPr>
              <w:t>The limiting of oﬃcial information to authorised persons for approved purposes (need to know).</w:t>
            </w:r>
          </w:p>
        </w:tc>
      </w:tr>
      <w:tr w:rsidR="007B16C2" w:rsidRPr="007B16C2" w14:paraId="678AC73A" w14:textId="77777777" w:rsidTr="00812D7B">
        <w:tc>
          <w:tcPr>
            <w:tcW w:w="1271" w:type="dxa"/>
            <w:shd w:val="clear" w:color="auto" w:fill="F2F2F2"/>
            <w:vAlign w:val="center"/>
          </w:tcPr>
          <w:p w14:paraId="658236E7" w14:textId="77777777" w:rsidR="007B16C2" w:rsidRPr="007B16C2" w:rsidRDefault="007B16C2" w:rsidP="00812D7B">
            <w:pPr>
              <w:pStyle w:val="BodyText"/>
              <w:spacing w:before="80" w:after="80"/>
              <w:rPr>
                <w:rFonts w:ascii="Calibri" w:eastAsia="Calibri" w:hAnsi="Calibri" w:cs="PostGrotesk-Book"/>
                <w:b/>
                <w:bCs/>
                <w:color w:val="55565A"/>
                <w:sz w:val="22"/>
                <w:szCs w:val="22"/>
                <w:lang w:val="en-GB" w:bidi="ar-SA"/>
              </w:rPr>
            </w:pPr>
            <w:r w:rsidRPr="007B16C2">
              <w:rPr>
                <w:rFonts w:ascii="Calibri" w:eastAsia="Calibri" w:hAnsi="Calibri" w:cs="PostGrotesk-Book"/>
                <w:b/>
                <w:bCs/>
                <w:color w:val="55565A"/>
                <w:sz w:val="22"/>
                <w:szCs w:val="22"/>
                <w:lang w:val="en-GB" w:bidi="ar-SA"/>
              </w:rPr>
              <w:t>Integrity</w:t>
            </w:r>
          </w:p>
        </w:tc>
        <w:tc>
          <w:tcPr>
            <w:tcW w:w="7938" w:type="dxa"/>
            <w:shd w:val="clear" w:color="auto" w:fill="F2F2F2"/>
            <w:vAlign w:val="center"/>
          </w:tcPr>
          <w:p w14:paraId="27183A8C" w14:textId="30B15725" w:rsidR="007B16C2" w:rsidRPr="007B16C2" w:rsidRDefault="007B16C2" w:rsidP="00812D7B">
            <w:pPr>
              <w:pStyle w:val="BodyText"/>
              <w:spacing w:before="80" w:after="80"/>
              <w:rPr>
                <w:rFonts w:ascii="Calibri" w:eastAsia="Calibri" w:hAnsi="Calibri" w:cs="PostGrotesk-Book"/>
                <w:color w:val="55565A"/>
                <w:sz w:val="22"/>
                <w:szCs w:val="22"/>
                <w:lang w:val="en-GB" w:bidi="ar-SA"/>
              </w:rPr>
            </w:pPr>
            <w:r w:rsidRPr="007B16C2">
              <w:rPr>
                <w:rFonts w:ascii="Calibri" w:eastAsia="Calibri" w:hAnsi="Calibri" w:cs="PostGrotesk-Book"/>
                <w:color w:val="55565A"/>
                <w:sz w:val="22"/>
                <w:szCs w:val="22"/>
                <w:lang w:val="en-GB" w:bidi="ar-SA"/>
              </w:rPr>
              <w:t>The assurance that information has been created, amended or deleted only by the intended, authorised means and is correct and valid.</w:t>
            </w:r>
          </w:p>
        </w:tc>
      </w:tr>
      <w:tr w:rsidR="007B16C2" w:rsidRPr="007B16C2" w14:paraId="0074FFF0" w14:textId="77777777" w:rsidTr="00812D7B">
        <w:trPr>
          <w:trHeight w:val="563"/>
        </w:trPr>
        <w:tc>
          <w:tcPr>
            <w:tcW w:w="1271" w:type="dxa"/>
            <w:shd w:val="clear" w:color="auto" w:fill="F2F2F2"/>
            <w:vAlign w:val="center"/>
          </w:tcPr>
          <w:p w14:paraId="5209E904" w14:textId="1E68E36F" w:rsidR="007B16C2" w:rsidRPr="007B16C2" w:rsidRDefault="007B16C2" w:rsidP="00812D7B">
            <w:pPr>
              <w:pStyle w:val="BodyText"/>
              <w:spacing w:before="80" w:after="80"/>
              <w:rPr>
                <w:rFonts w:ascii="Calibri" w:eastAsia="Calibri" w:hAnsi="Calibri" w:cs="PostGrotesk-Book"/>
                <w:b/>
                <w:bCs/>
                <w:color w:val="55565A"/>
                <w:sz w:val="22"/>
                <w:szCs w:val="22"/>
                <w:lang w:val="en-GB" w:bidi="ar-SA"/>
              </w:rPr>
            </w:pPr>
            <w:r w:rsidRPr="007B16C2">
              <w:rPr>
                <w:rFonts w:ascii="Calibri" w:eastAsia="Calibri" w:hAnsi="Calibri" w:cs="PostGrotesk-Book"/>
                <w:b/>
                <w:bCs/>
                <w:color w:val="55565A"/>
                <w:sz w:val="22"/>
                <w:szCs w:val="22"/>
                <w:lang w:val="en-GB" w:bidi="ar-SA"/>
              </w:rPr>
              <w:t>Availability</w:t>
            </w:r>
          </w:p>
        </w:tc>
        <w:tc>
          <w:tcPr>
            <w:tcW w:w="7938" w:type="dxa"/>
            <w:shd w:val="clear" w:color="auto" w:fill="F2F2F2"/>
            <w:vAlign w:val="center"/>
          </w:tcPr>
          <w:p w14:paraId="613D1C56" w14:textId="77777777" w:rsidR="007B16C2" w:rsidRPr="007B16C2" w:rsidRDefault="007B16C2" w:rsidP="00812D7B">
            <w:pPr>
              <w:pStyle w:val="BodyText"/>
              <w:spacing w:before="80" w:after="80"/>
              <w:rPr>
                <w:rFonts w:ascii="Calibri" w:eastAsia="Calibri" w:hAnsi="Calibri" w:cs="PostGrotesk-Book"/>
                <w:color w:val="55565A"/>
                <w:sz w:val="22"/>
                <w:szCs w:val="22"/>
                <w:lang w:val="en-GB" w:bidi="ar-SA"/>
              </w:rPr>
            </w:pPr>
            <w:r w:rsidRPr="007B16C2">
              <w:rPr>
                <w:rFonts w:ascii="Calibri" w:eastAsia="Calibri" w:hAnsi="Calibri" w:cs="PostGrotesk-Book"/>
                <w:color w:val="55565A"/>
                <w:sz w:val="22"/>
                <w:szCs w:val="22"/>
                <w:lang w:val="en-GB" w:bidi="ar-SA"/>
              </w:rPr>
              <w:t>The desired state that allows authorised persons to access particular information for authorised purposes, at the time they need to do so.</w:t>
            </w:r>
          </w:p>
        </w:tc>
      </w:tr>
    </w:tbl>
    <w:p w14:paraId="238B54DC" w14:textId="77777777" w:rsidR="007B16C2" w:rsidRPr="007B16C2" w:rsidRDefault="007B16C2" w:rsidP="007B16C2">
      <w:pPr>
        <w:pStyle w:val="BodyText"/>
        <w:rPr>
          <w:rFonts w:ascii="Calibri" w:eastAsia="Calibri" w:hAnsi="Calibri" w:cs="PostGrotesk-Book"/>
          <w:color w:val="55565A"/>
          <w:sz w:val="22"/>
          <w:szCs w:val="22"/>
          <w:lang w:val="en-GB" w:bidi="ar-SA"/>
        </w:rPr>
      </w:pPr>
    </w:p>
    <w:p w14:paraId="33433804" w14:textId="77777777" w:rsidR="007B16C2" w:rsidRPr="007B16C2" w:rsidRDefault="007B16C2" w:rsidP="007B16C2">
      <w:pPr>
        <w:pStyle w:val="BodyText"/>
        <w:rPr>
          <w:rFonts w:ascii="Calibri" w:eastAsia="Calibri" w:hAnsi="Calibri" w:cs="PostGrotesk-Book"/>
          <w:color w:val="55565A"/>
          <w:sz w:val="22"/>
          <w:szCs w:val="22"/>
          <w:lang w:val="en-GB" w:bidi="ar-SA"/>
        </w:rPr>
      </w:pPr>
      <w:r w:rsidRPr="007B16C2">
        <w:rPr>
          <w:rFonts w:ascii="Calibri" w:eastAsia="Calibri" w:hAnsi="Calibri" w:cs="PostGrotesk-Book"/>
          <w:color w:val="55565A"/>
          <w:sz w:val="22"/>
          <w:szCs w:val="22"/>
          <w:lang w:val="en-GB" w:bidi="ar-SA"/>
        </w:rPr>
        <w:t>The Framework and Standards consider these three security attributes in an equal manner.</w:t>
      </w:r>
    </w:p>
    <w:p w14:paraId="34C8CA5B" w14:textId="45FBDC3E" w:rsidR="007B16C2" w:rsidRPr="00AC2FF3" w:rsidRDefault="007B16C2" w:rsidP="00812D7B">
      <w:pPr>
        <w:pStyle w:val="SectionHeading1"/>
        <w:numPr>
          <w:ilvl w:val="0"/>
          <w:numId w:val="22"/>
        </w:numPr>
        <w:ind w:left="426" w:hanging="426"/>
      </w:pPr>
      <w:bookmarkStart w:id="7" w:name="_Toc25069540"/>
      <w:bookmarkStart w:id="8" w:name="_Toc31984092"/>
      <w:r>
        <w:lastRenderedPageBreak/>
        <w:t xml:space="preserve">Security </w:t>
      </w:r>
      <w:r w:rsidR="00AC1C6A">
        <w:t>c</w:t>
      </w:r>
      <w:r>
        <w:t>ulture</w:t>
      </w:r>
      <w:bookmarkEnd w:id="7"/>
      <w:bookmarkEnd w:id="8"/>
    </w:p>
    <w:p w14:paraId="1607DF8A" w14:textId="77777777" w:rsidR="007B16C2" w:rsidRPr="007B16C2" w:rsidRDefault="007B16C2" w:rsidP="007B16C2">
      <w:pPr>
        <w:pStyle w:val="BodyText"/>
        <w:rPr>
          <w:rFonts w:ascii="Calibri" w:eastAsia="Calibri" w:hAnsi="Calibri" w:cs="PostGrotesk-Book"/>
          <w:b/>
          <w:bCs/>
          <w:i/>
          <w:iCs/>
          <w:color w:val="55565A"/>
          <w:sz w:val="22"/>
          <w:szCs w:val="22"/>
          <w:lang w:val="en-GB" w:bidi="ar-SA"/>
        </w:rPr>
      </w:pPr>
      <w:r w:rsidRPr="007B16C2">
        <w:rPr>
          <w:rFonts w:ascii="Calibri" w:eastAsia="Calibri" w:hAnsi="Calibri" w:cs="PostGrotesk-Book"/>
          <w:b/>
          <w:bCs/>
          <w:i/>
          <w:iCs/>
          <w:color w:val="55565A"/>
          <w:sz w:val="22"/>
          <w:szCs w:val="22"/>
          <w:lang w:val="en-GB" w:bidi="ar-SA"/>
        </w:rPr>
        <w:t>Principle 4: A positive security culture with clear personal accountability and a mature understanding of managing risk, responsibility and reputation allows an organisation to function effectively and support the delivery of government services.</w:t>
      </w:r>
    </w:p>
    <w:p w14:paraId="47175E21" w14:textId="77777777" w:rsidR="007B16C2" w:rsidRPr="007B16C2" w:rsidRDefault="007B16C2" w:rsidP="007B16C2">
      <w:pPr>
        <w:pStyle w:val="BodyText"/>
        <w:rPr>
          <w:rFonts w:ascii="Calibri" w:eastAsia="Calibri" w:hAnsi="Calibri" w:cs="PostGrotesk-Book"/>
          <w:color w:val="55565A"/>
          <w:sz w:val="22"/>
          <w:szCs w:val="22"/>
          <w:lang w:val="en-GB" w:bidi="ar-SA"/>
        </w:rPr>
      </w:pPr>
    </w:p>
    <w:p w14:paraId="6682E187" w14:textId="43112AE3" w:rsidR="007B16C2" w:rsidRPr="007B16C2" w:rsidRDefault="007B16C2" w:rsidP="007B16C2">
      <w:pPr>
        <w:pStyle w:val="BodyText"/>
        <w:rPr>
          <w:rFonts w:ascii="Calibri" w:eastAsia="Calibri" w:hAnsi="Calibri" w:cs="PostGrotesk-Book"/>
          <w:color w:val="55565A"/>
          <w:sz w:val="22"/>
          <w:szCs w:val="22"/>
          <w:lang w:val="en-GB" w:bidi="ar-SA"/>
        </w:rPr>
      </w:pPr>
      <w:r w:rsidRPr="007B16C2">
        <w:rPr>
          <w:rFonts w:ascii="Calibri" w:eastAsia="Calibri" w:hAnsi="Calibri" w:cs="PostGrotesk-Book"/>
          <w:color w:val="55565A"/>
          <w:sz w:val="22"/>
          <w:szCs w:val="22"/>
          <w:lang w:val="en-GB" w:bidi="ar-SA"/>
        </w:rPr>
        <w:t>Organisational culture is underpinned by the attitudes and behaviours of personnel and</w:t>
      </w:r>
      <w:r w:rsidR="006205EA">
        <w:rPr>
          <w:rFonts w:ascii="Calibri" w:eastAsia="Calibri" w:hAnsi="Calibri" w:cs="PostGrotesk-Book"/>
          <w:color w:val="55565A"/>
          <w:sz w:val="22"/>
          <w:szCs w:val="22"/>
          <w:lang w:val="en-GB" w:bidi="ar-SA"/>
        </w:rPr>
        <w:t xml:space="preserve"> </w:t>
      </w:r>
      <w:r w:rsidRPr="007B16C2">
        <w:rPr>
          <w:rFonts w:ascii="Calibri" w:eastAsia="Calibri" w:hAnsi="Calibri" w:cs="PostGrotesk-Book"/>
          <w:color w:val="55565A"/>
          <w:sz w:val="22"/>
          <w:szCs w:val="22"/>
          <w:lang w:val="en-GB" w:bidi="ar-SA"/>
        </w:rPr>
        <w:t>their shared values and beliefs that interact with the organisation’s structures and control systems to produce behavioural norms</w:t>
      </w:r>
      <w:r w:rsidRPr="006A73CB">
        <w:rPr>
          <w:rStyle w:val="FootnoteReference"/>
          <w:rFonts w:asciiTheme="minorHAnsi" w:eastAsia="Times New Roman" w:hAnsiTheme="minorHAnsi" w:cs="Times New Roman"/>
          <w:sz w:val="20"/>
          <w:szCs w:val="20"/>
          <w:lang w:val="en-AU"/>
        </w:rPr>
        <w:footnoteReference w:id="3"/>
      </w:r>
      <w:r w:rsidRPr="006A73CB">
        <w:rPr>
          <w:rStyle w:val="FootnoteReference"/>
          <w:rFonts w:asciiTheme="minorHAnsi" w:eastAsia="Times New Roman" w:hAnsiTheme="minorHAnsi" w:cs="Times New Roman"/>
          <w:sz w:val="20"/>
          <w:szCs w:val="20"/>
          <w:lang w:val="en-AU"/>
        </w:rPr>
        <w:t xml:space="preserve">. </w:t>
      </w:r>
      <w:r w:rsidRPr="007B16C2">
        <w:rPr>
          <w:rFonts w:ascii="Calibri" w:eastAsia="Calibri" w:hAnsi="Calibri" w:cs="PostGrotesk-Book"/>
          <w:color w:val="55565A"/>
          <w:sz w:val="22"/>
          <w:szCs w:val="22"/>
          <w:lang w:val="en-GB" w:bidi="ar-SA"/>
        </w:rPr>
        <w:t>Behavioural norms influence the day-to-day operation of an organisation and act as a powerful and often subliminal force that shapes its very nature.</w:t>
      </w:r>
    </w:p>
    <w:p w14:paraId="4612EFC7" w14:textId="77777777" w:rsidR="007B16C2" w:rsidRPr="007B16C2" w:rsidRDefault="007B16C2" w:rsidP="007B16C2">
      <w:pPr>
        <w:pStyle w:val="BodyText"/>
        <w:rPr>
          <w:rFonts w:ascii="Calibri" w:eastAsia="Calibri" w:hAnsi="Calibri" w:cs="PostGrotesk-Book"/>
          <w:color w:val="55565A"/>
          <w:sz w:val="22"/>
          <w:szCs w:val="22"/>
          <w:lang w:val="en-GB" w:bidi="ar-SA"/>
        </w:rPr>
      </w:pPr>
    </w:p>
    <w:p w14:paraId="5F85892C" w14:textId="600DEF63" w:rsidR="007B16C2" w:rsidRPr="007B16C2" w:rsidRDefault="007B16C2" w:rsidP="007B16C2">
      <w:pPr>
        <w:pStyle w:val="BodyText"/>
        <w:rPr>
          <w:rFonts w:ascii="Calibri" w:eastAsia="Calibri" w:hAnsi="Calibri" w:cs="PostGrotesk-Book"/>
          <w:color w:val="55565A"/>
          <w:sz w:val="22"/>
          <w:szCs w:val="22"/>
          <w:lang w:val="en-GB" w:bidi="ar-SA"/>
        </w:rPr>
      </w:pPr>
      <w:r w:rsidRPr="007B16C2">
        <w:rPr>
          <w:rFonts w:ascii="Calibri" w:eastAsia="Calibri" w:hAnsi="Calibri" w:cs="PostGrotesk-Book"/>
          <w:color w:val="55565A"/>
          <w:sz w:val="22"/>
          <w:szCs w:val="22"/>
          <w:lang w:val="en-GB" w:bidi="ar-SA"/>
        </w:rPr>
        <w:t xml:space="preserve">The Framework and Standards seek to establish security as a natural element of organisational culture. To achieve this, organisations must introduce cultural change where protective data security practices are reflected in everyday business operations, and </w:t>
      </w:r>
      <w:r w:rsidR="006205EA">
        <w:rPr>
          <w:rFonts w:ascii="Calibri" w:eastAsia="Calibri" w:hAnsi="Calibri" w:cs="PostGrotesk-Book"/>
          <w:color w:val="55565A"/>
          <w:sz w:val="22"/>
          <w:szCs w:val="22"/>
          <w:lang w:val="en-GB" w:bidi="ar-SA"/>
        </w:rPr>
        <w:t xml:space="preserve">where </w:t>
      </w:r>
      <w:r w:rsidRPr="007B16C2">
        <w:rPr>
          <w:rFonts w:ascii="Calibri" w:eastAsia="Calibri" w:hAnsi="Calibri" w:cs="PostGrotesk-Book"/>
          <w:color w:val="55565A"/>
          <w:sz w:val="22"/>
          <w:szCs w:val="22"/>
          <w:lang w:val="en-GB" w:bidi="ar-SA"/>
        </w:rPr>
        <w:t>all personnel take a shared responsibility. By embedding security in organisational culture, it becomes something that ‘is’, rather than something an organisation ‘has’ or ‘</w:t>
      </w:r>
      <w:proofErr w:type="gramStart"/>
      <w:r w:rsidRPr="007B16C2">
        <w:rPr>
          <w:rFonts w:ascii="Calibri" w:eastAsia="Calibri" w:hAnsi="Calibri" w:cs="PostGrotesk-Book"/>
          <w:color w:val="55565A"/>
          <w:sz w:val="22"/>
          <w:szCs w:val="22"/>
          <w:lang w:val="en-GB" w:bidi="ar-SA"/>
        </w:rPr>
        <w:t>does’</w:t>
      </w:r>
      <w:proofErr w:type="gramEnd"/>
      <w:r w:rsidRPr="007B16C2">
        <w:rPr>
          <w:rFonts w:ascii="Calibri" w:eastAsia="Calibri" w:hAnsi="Calibri" w:cs="PostGrotesk-Book"/>
          <w:color w:val="55565A"/>
          <w:sz w:val="22"/>
          <w:szCs w:val="22"/>
          <w:lang w:val="en-GB" w:bidi="ar-SA"/>
        </w:rPr>
        <w:t>.</w:t>
      </w:r>
    </w:p>
    <w:p w14:paraId="20EC3BB2" w14:textId="77777777" w:rsidR="007B16C2" w:rsidRPr="007B16C2" w:rsidRDefault="007B16C2" w:rsidP="007B16C2">
      <w:pPr>
        <w:pStyle w:val="BodyText"/>
        <w:rPr>
          <w:rFonts w:ascii="Calibri" w:eastAsia="Calibri" w:hAnsi="Calibri" w:cs="PostGrotesk-Book"/>
          <w:color w:val="55565A"/>
          <w:sz w:val="22"/>
          <w:szCs w:val="22"/>
          <w:lang w:val="en-GB" w:bidi="ar-SA"/>
        </w:rPr>
      </w:pPr>
    </w:p>
    <w:p w14:paraId="21BAE5EC" w14:textId="36750A19" w:rsidR="007B16C2" w:rsidRPr="007B16C2" w:rsidRDefault="007B16C2" w:rsidP="007B16C2">
      <w:pPr>
        <w:pStyle w:val="BodyText"/>
        <w:rPr>
          <w:rFonts w:ascii="Calibri" w:eastAsia="Calibri" w:hAnsi="Calibri" w:cs="PostGrotesk-Book"/>
          <w:color w:val="55565A"/>
          <w:sz w:val="22"/>
          <w:szCs w:val="22"/>
          <w:lang w:val="en-GB" w:bidi="ar-SA"/>
        </w:rPr>
      </w:pPr>
      <w:r w:rsidRPr="007B16C2">
        <w:rPr>
          <w:rFonts w:ascii="Calibri" w:eastAsia="Calibri" w:hAnsi="Calibri" w:cs="PostGrotesk-Book"/>
          <w:color w:val="55565A"/>
          <w:sz w:val="22"/>
          <w:szCs w:val="22"/>
          <w:lang w:val="en-GB" w:bidi="ar-SA"/>
        </w:rPr>
        <w:t>A natural outcome of this cultural transformation program will:</w:t>
      </w:r>
    </w:p>
    <w:p w14:paraId="1A134270" w14:textId="713290DF" w:rsidR="007B16C2" w:rsidRPr="007B16C2" w:rsidRDefault="0078024B" w:rsidP="007B16C2">
      <w:pPr>
        <w:pStyle w:val="BodyText"/>
        <w:numPr>
          <w:ilvl w:val="0"/>
          <w:numId w:val="19"/>
        </w:numPr>
        <w:rPr>
          <w:rFonts w:ascii="Calibri" w:eastAsia="Calibri" w:hAnsi="Calibri" w:cs="PostGrotesk-Book"/>
          <w:color w:val="55565A"/>
          <w:sz w:val="22"/>
          <w:szCs w:val="22"/>
          <w:lang w:val="en-GB" w:bidi="ar-SA"/>
        </w:rPr>
      </w:pPr>
      <w:r>
        <w:rPr>
          <w:rFonts w:ascii="Calibri" w:eastAsia="Calibri" w:hAnsi="Calibri" w:cs="PostGrotesk-Book"/>
          <w:color w:val="55565A"/>
          <w:sz w:val="22"/>
          <w:szCs w:val="22"/>
          <w:lang w:val="en-GB" w:bidi="ar-SA"/>
        </w:rPr>
        <w:t xml:space="preserve">have </w:t>
      </w:r>
      <w:r w:rsidR="007B16C2" w:rsidRPr="007B16C2">
        <w:rPr>
          <w:rFonts w:ascii="Calibri" w:eastAsia="Calibri" w:hAnsi="Calibri" w:cs="PostGrotesk-Book"/>
          <w:color w:val="55565A"/>
          <w:sz w:val="22"/>
          <w:szCs w:val="22"/>
          <w:lang w:val="en-GB" w:bidi="ar-SA"/>
        </w:rPr>
        <w:t>personnel thinking and acting in more security-conscious ways</w:t>
      </w:r>
      <w:r w:rsidR="006205EA">
        <w:rPr>
          <w:rFonts w:ascii="Calibri" w:eastAsia="Calibri" w:hAnsi="Calibri" w:cs="PostGrotesk-Book"/>
          <w:color w:val="55565A"/>
          <w:sz w:val="22"/>
          <w:szCs w:val="22"/>
          <w:lang w:val="en-GB" w:bidi="ar-SA"/>
        </w:rPr>
        <w:t>;</w:t>
      </w:r>
    </w:p>
    <w:p w14:paraId="6FE882E6" w14:textId="5238DB8E" w:rsidR="007B16C2" w:rsidRPr="007B16C2" w:rsidRDefault="0078024B" w:rsidP="007B16C2">
      <w:pPr>
        <w:pStyle w:val="BodyText"/>
        <w:numPr>
          <w:ilvl w:val="0"/>
          <w:numId w:val="19"/>
        </w:numPr>
        <w:rPr>
          <w:rFonts w:ascii="Calibri" w:eastAsia="Calibri" w:hAnsi="Calibri" w:cs="PostGrotesk-Book"/>
          <w:color w:val="55565A"/>
          <w:sz w:val="22"/>
          <w:szCs w:val="22"/>
          <w:lang w:val="en-GB" w:bidi="ar-SA"/>
        </w:rPr>
      </w:pPr>
      <w:r>
        <w:rPr>
          <w:rFonts w:ascii="Calibri" w:eastAsia="Calibri" w:hAnsi="Calibri" w:cs="PostGrotesk-Book"/>
          <w:color w:val="55565A"/>
          <w:sz w:val="22"/>
          <w:szCs w:val="22"/>
          <w:lang w:val="en-GB" w:bidi="ar-SA"/>
        </w:rPr>
        <w:t>reduce</w:t>
      </w:r>
      <w:r w:rsidR="007B16C2" w:rsidRPr="007B16C2">
        <w:rPr>
          <w:rFonts w:ascii="Calibri" w:eastAsia="Calibri" w:hAnsi="Calibri" w:cs="PostGrotesk-Book"/>
          <w:color w:val="55565A"/>
          <w:sz w:val="22"/>
          <w:szCs w:val="22"/>
          <w:lang w:val="en-GB" w:bidi="ar-SA"/>
        </w:rPr>
        <w:t xml:space="preserve"> organisations’ protective data security risks</w:t>
      </w:r>
      <w:r w:rsidR="006205EA">
        <w:rPr>
          <w:rFonts w:ascii="Calibri" w:eastAsia="Calibri" w:hAnsi="Calibri" w:cs="PostGrotesk-Book"/>
          <w:color w:val="55565A"/>
          <w:sz w:val="22"/>
          <w:szCs w:val="22"/>
          <w:lang w:val="en-GB" w:bidi="ar-SA"/>
        </w:rPr>
        <w:t>; and</w:t>
      </w:r>
    </w:p>
    <w:p w14:paraId="45F2A4F2" w14:textId="323FBCC0" w:rsidR="007B16C2" w:rsidRPr="007B16C2" w:rsidRDefault="0078024B" w:rsidP="007B16C2">
      <w:pPr>
        <w:pStyle w:val="BodyText"/>
        <w:numPr>
          <w:ilvl w:val="0"/>
          <w:numId w:val="19"/>
        </w:numPr>
        <w:rPr>
          <w:rFonts w:ascii="Calibri" w:eastAsia="Calibri" w:hAnsi="Calibri" w:cs="PostGrotesk-Book"/>
          <w:color w:val="55565A"/>
          <w:sz w:val="22"/>
          <w:szCs w:val="22"/>
          <w:lang w:val="en-GB" w:bidi="ar-SA"/>
        </w:rPr>
      </w:pPr>
      <w:r>
        <w:rPr>
          <w:rFonts w:ascii="Calibri" w:eastAsia="Calibri" w:hAnsi="Calibri" w:cs="PostGrotesk-Book"/>
          <w:color w:val="55565A"/>
          <w:sz w:val="22"/>
          <w:szCs w:val="22"/>
          <w:lang w:val="en-GB" w:bidi="ar-SA"/>
        </w:rPr>
        <w:t>enable</w:t>
      </w:r>
      <w:r w:rsidR="007B16C2" w:rsidRPr="007B16C2">
        <w:rPr>
          <w:rFonts w:ascii="Calibri" w:eastAsia="Calibri" w:hAnsi="Calibri" w:cs="PostGrotesk-Book"/>
          <w:color w:val="55565A"/>
          <w:sz w:val="22"/>
          <w:szCs w:val="22"/>
          <w:lang w:val="en-GB" w:bidi="ar-SA"/>
        </w:rPr>
        <w:t xml:space="preserve"> the secure delivery of government services.</w:t>
      </w:r>
    </w:p>
    <w:p w14:paraId="08AEA744" w14:textId="77777777" w:rsidR="007B16C2" w:rsidRDefault="007B16C2" w:rsidP="007B16C2">
      <w:pPr>
        <w:pStyle w:val="BodyText"/>
        <w:rPr>
          <w:rFonts w:ascii="AppleSystemUIFont" w:hAnsi="AppleSystemUIFont" w:cs="AppleSystemUIFont"/>
        </w:rPr>
      </w:pPr>
    </w:p>
    <w:p w14:paraId="2F539CE4" w14:textId="6A4BAD33" w:rsidR="007B16C2" w:rsidRDefault="007B16C2" w:rsidP="00812D7B">
      <w:pPr>
        <w:pStyle w:val="SectionHeading1"/>
        <w:numPr>
          <w:ilvl w:val="0"/>
          <w:numId w:val="22"/>
        </w:numPr>
        <w:ind w:left="426" w:hanging="426"/>
      </w:pPr>
      <w:bookmarkStart w:id="9" w:name="_Toc25069541"/>
      <w:bookmarkStart w:id="10" w:name="_Toc31984093"/>
      <w:r>
        <w:t xml:space="preserve">Continuous </w:t>
      </w:r>
      <w:r w:rsidR="00AC1C6A">
        <w:t>i</w:t>
      </w:r>
      <w:r>
        <w:t>mprovement (Plan, Do, Check, Act)</w:t>
      </w:r>
      <w:bookmarkEnd w:id="9"/>
      <w:bookmarkEnd w:id="10"/>
    </w:p>
    <w:p w14:paraId="35B6B1B8" w14:textId="77777777" w:rsidR="007B16C2" w:rsidRPr="007B16C2" w:rsidRDefault="007B16C2" w:rsidP="007B16C2">
      <w:pPr>
        <w:pStyle w:val="BodyText"/>
        <w:rPr>
          <w:rFonts w:ascii="Calibri" w:eastAsia="Calibri" w:hAnsi="Calibri" w:cs="PostGrotesk-Book"/>
          <w:b/>
          <w:bCs/>
          <w:i/>
          <w:iCs/>
          <w:color w:val="55565A"/>
          <w:sz w:val="22"/>
          <w:szCs w:val="22"/>
          <w:lang w:val="en-GB" w:bidi="ar-SA"/>
        </w:rPr>
      </w:pPr>
      <w:r w:rsidRPr="007B16C2">
        <w:rPr>
          <w:rFonts w:ascii="Calibri" w:eastAsia="Calibri" w:hAnsi="Calibri" w:cs="PostGrotesk-Book"/>
          <w:b/>
          <w:bCs/>
          <w:i/>
          <w:iCs/>
          <w:color w:val="55565A"/>
          <w:sz w:val="22"/>
          <w:szCs w:val="22"/>
          <w:lang w:val="en-GB" w:bidi="ar-SA"/>
        </w:rPr>
        <w:t>Principle 5: A continuous improvement lifecycle model enables an organisation to systematically identify opportunities to mature their protective data security practices.</w:t>
      </w:r>
    </w:p>
    <w:p w14:paraId="3CCC9FFC" w14:textId="77777777" w:rsidR="007B16C2" w:rsidRPr="007B16C2" w:rsidRDefault="007B16C2" w:rsidP="007B16C2">
      <w:pPr>
        <w:pStyle w:val="BodyText"/>
        <w:rPr>
          <w:rFonts w:ascii="Calibri" w:eastAsia="Calibri" w:hAnsi="Calibri" w:cs="PostGrotesk-Book"/>
          <w:color w:val="55565A"/>
          <w:sz w:val="22"/>
          <w:szCs w:val="22"/>
          <w:lang w:val="en-GB" w:bidi="ar-SA"/>
        </w:rPr>
      </w:pPr>
    </w:p>
    <w:p w14:paraId="11224C9C" w14:textId="38E9ED9F" w:rsidR="007B16C2" w:rsidRPr="007B16C2" w:rsidRDefault="007B16C2" w:rsidP="007B16C2">
      <w:pPr>
        <w:pStyle w:val="BodyText"/>
        <w:rPr>
          <w:rFonts w:ascii="Calibri" w:eastAsia="Calibri" w:hAnsi="Calibri" w:cs="PostGrotesk-Book"/>
          <w:color w:val="55565A"/>
          <w:sz w:val="22"/>
          <w:szCs w:val="22"/>
          <w:lang w:val="en-GB" w:bidi="ar-SA"/>
        </w:rPr>
      </w:pPr>
      <w:r w:rsidRPr="007B16C2">
        <w:rPr>
          <w:rFonts w:ascii="Calibri" w:eastAsia="Calibri" w:hAnsi="Calibri" w:cs="PostGrotesk-Book"/>
          <w:color w:val="55565A"/>
          <w:sz w:val="22"/>
          <w:szCs w:val="22"/>
          <w:lang w:val="en-GB" w:bidi="ar-SA"/>
        </w:rPr>
        <w:t>A key concept used throughout the Framework and Standards is a continuous improvement lifecycle model</w:t>
      </w:r>
      <w:r w:rsidR="006205EA">
        <w:rPr>
          <w:rFonts w:ascii="Calibri" w:eastAsia="Calibri" w:hAnsi="Calibri" w:cs="PostGrotesk-Book"/>
          <w:color w:val="55565A"/>
          <w:sz w:val="22"/>
          <w:szCs w:val="22"/>
          <w:lang w:val="en-GB" w:bidi="ar-SA"/>
        </w:rPr>
        <w:t>. This</w:t>
      </w:r>
      <w:r w:rsidRPr="007B16C2">
        <w:rPr>
          <w:rFonts w:ascii="Calibri" w:eastAsia="Calibri" w:hAnsi="Calibri" w:cs="PostGrotesk-Book"/>
          <w:color w:val="55565A"/>
          <w:sz w:val="22"/>
          <w:szCs w:val="22"/>
          <w:lang w:val="en-GB" w:bidi="ar-SA"/>
        </w:rPr>
        <w:t xml:space="preserve"> is an underlying theme of international standards such as:</w:t>
      </w:r>
      <w:r w:rsidR="00812D7B">
        <w:rPr>
          <w:rFonts w:ascii="Calibri" w:eastAsia="Calibri" w:hAnsi="Calibri" w:cs="PostGrotesk-Book"/>
          <w:color w:val="55565A"/>
          <w:sz w:val="22"/>
          <w:szCs w:val="22"/>
          <w:lang w:val="en-GB" w:bidi="ar-SA"/>
        </w:rPr>
        <w:br/>
      </w:r>
    </w:p>
    <w:p w14:paraId="6BE1A9C7" w14:textId="4D4624B4" w:rsidR="007B16C2" w:rsidRPr="007B16C2" w:rsidRDefault="007B16C2" w:rsidP="007B16C2">
      <w:pPr>
        <w:pStyle w:val="BodyText"/>
        <w:numPr>
          <w:ilvl w:val="0"/>
          <w:numId w:val="20"/>
        </w:numPr>
        <w:rPr>
          <w:rFonts w:ascii="Calibri" w:eastAsia="Calibri" w:hAnsi="Calibri" w:cs="PostGrotesk-Book"/>
          <w:color w:val="55565A"/>
          <w:sz w:val="22"/>
          <w:szCs w:val="22"/>
          <w:lang w:val="en-GB" w:bidi="ar-SA"/>
        </w:rPr>
      </w:pPr>
      <w:r w:rsidRPr="007B16C2">
        <w:rPr>
          <w:rFonts w:ascii="Calibri" w:eastAsia="Calibri" w:hAnsi="Calibri" w:cs="PostGrotesk-Book"/>
          <w:color w:val="55565A"/>
          <w:sz w:val="22"/>
          <w:szCs w:val="22"/>
          <w:lang w:val="en-GB" w:bidi="ar-SA"/>
        </w:rPr>
        <w:t>AS/NZS ISO 31000 Risk management – Principles and guidelines</w:t>
      </w:r>
      <w:r w:rsidR="006205EA">
        <w:rPr>
          <w:rFonts w:ascii="Calibri" w:eastAsia="Calibri" w:hAnsi="Calibri" w:cs="PostGrotesk-Book"/>
          <w:color w:val="55565A"/>
          <w:sz w:val="22"/>
          <w:szCs w:val="22"/>
          <w:lang w:val="en-GB" w:bidi="ar-SA"/>
        </w:rPr>
        <w:t>;</w:t>
      </w:r>
    </w:p>
    <w:p w14:paraId="4B3B1E78" w14:textId="442A4FCA" w:rsidR="007B16C2" w:rsidRPr="007B16C2" w:rsidRDefault="007B16C2" w:rsidP="007B16C2">
      <w:pPr>
        <w:pStyle w:val="BodyText"/>
        <w:numPr>
          <w:ilvl w:val="0"/>
          <w:numId w:val="20"/>
        </w:numPr>
        <w:rPr>
          <w:rFonts w:ascii="Calibri" w:eastAsia="Calibri" w:hAnsi="Calibri" w:cs="PostGrotesk-Book"/>
          <w:color w:val="55565A"/>
          <w:sz w:val="22"/>
          <w:szCs w:val="22"/>
          <w:lang w:val="en-GB" w:bidi="ar-SA"/>
        </w:rPr>
      </w:pPr>
      <w:r w:rsidRPr="007B16C2">
        <w:rPr>
          <w:rFonts w:ascii="Calibri" w:eastAsia="Calibri" w:hAnsi="Calibri" w:cs="PostGrotesk-Book"/>
          <w:color w:val="55565A"/>
          <w:sz w:val="22"/>
          <w:szCs w:val="22"/>
          <w:lang w:val="en-GB" w:bidi="ar-SA"/>
        </w:rPr>
        <w:t>ISO 9001 Quality management</w:t>
      </w:r>
      <w:r w:rsidR="006205EA">
        <w:rPr>
          <w:rFonts w:ascii="Calibri" w:eastAsia="Calibri" w:hAnsi="Calibri" w:cs="PostGrotesk-Book"/>
          <w:color w:val="55565A"/>
          <w:sz w:val="22"/>
          <w:szCs w:val="22"/>
          <w:lang w:val="en-GB" w:bidi="ar-SA"/>
        </w:rPr>
        <w:t>; and</w:t>
      </w:r>
    </w:p>
    <w:p w14:paraId="360CC014" w14:textId="77777777" w:rsidR="007B16C2" w:rsidRPr="007B16C2" w:rsidRDefault="007B16C2" w:rsidP="007B16C2">
      <w:pPr>
        <w:pStyle w:val="BodyText"/>
        <w:numPr>
          <w:ilvl w:val="0"/>
          <w:numId w:val="20"/>
        </w:numPr>
        <w:rPr>
          <w:rFonts w:ascii="Calibri" w:eastAsia="Calibri" w:hAnsi="Calibri" w:cs="PostGrotesk-Book"/>
          <w:color w:val="55565A"/>
          <w:sz w:val="22"/>
          <w:szCs w:val="22"/>
          <w:lang w:val="en-GB" w:bidi="ar-SA"/>
        </w:rPr>
      </w:pPr>
      <w:r w:rsidRPr="007B16C2">
        <w:rPr>
          <w:rFonts w:ascii="Calibri" w:eastAsia="Calibri" w:hAnsi="Calibri" w:cs="PostGrotesk-Book"/>
          <w:color w:val="55565A"/>
          <w:sz w:val="22"/>
          <w:szCs w:val="22"/>
          <w:lang w:val="en-GB" w:bidi="ar-SA"/>
        </w:rPr>
        <w:t>ISO 19600:2014 Compliance management systems.</w:t>
      </w:r>
    </w:p>
    <w:p w14:paraId="22319AFB" w14:textId="77777777" w:rsidR="007B16C2" w:rsidRPr="007B16C2" w:rsidRDefault="007B16C2" w:rsidP="007B16C2">
      <w:pPr>
        <w:pStyle w:val="BodyText"/>
        <w:rPr>
          <w:rFonts w:ascii="Calibri" w:eastAsia="Calibri" w:hAnsi="Calibri" w:cs="PostGrotesk-Book"/>
          <w:color w:val="55565A"/>
          <w:sz w:val="22"/>
          <w:szCs w:val="22"/>
          <w:lang w:val="en-GB" w:bidi="ar-SA"/>
        </w:rPr>
      </w:pPr>
    </w:p>
    <w:p w14:paraId="64134F3F" w14:textId="7DDE4670" w:rsidR="007B16C2" w:rsidRPr="007B16C2" w:rsidRDefault="007B16C2" w:rsidP="007B16C2">
      <w:pPr>
        <w:pStyle w:val="BodyText"/>
        <w:rPr>
          <w:rFonts w:ascii="Calibri" w:eastAsia="Calibri" w:hAnsi="Calibri" w:cs="PostGrotesk-Book"/>
          <w:color w:val="55565A"/>
          <w:sz w:val="22"/>
          <w:szCs w:val="22"/>
          <w:lang w:val="en-GB" w:bidi="ar-SA"/>
        </w:rPr>
      </w:pPr>
      <w:r w:rsidRPr="007B16C2">
        <w:rPr>
          <w:rFonts w:ascii="Calibri" w:eastAsia="Calibri" w:hAnsi="Calibri" w:cs="PostGrotesk-Book"/>
          <w:color w:val="55565A"/>
          <w:sz w:val="22"/>
          <w:szCs w:val="22"/>
          <w:lang w:val="en-GB" w:bidi="ar-SA"/>
        </w:rPr>
        <w:t>This quality-driven philosophy is designed to integrate protective data security into an organisation’s entire business practices</w:t>
      </w:r>
      <w:r w:rsidR="006205EA">
        <w:rPr>
          <w:rFonts w:ascii="Calibri" w:eastAsia="Calibri" w:hAnsi="Calibri" w:cs="PostGrotesk-Book"/>
          <w:color w:val="55565A"/>
          <w:sz w:val="22"/>
          <w:szCs w:val="22"/>
          <w:lang w:val="en-GB" w:bidi="ar-SA"/>
        </w:rPr>
        <w:t>. It also</w:t>
      </w:r>
      <w:r w:rsidRPr="007B16C2">
        <w:rPr>
          <w:rFonts w:ascii="Calibri" w:eastAsia="Calibri" w:hAnsi="Calibri" w:cs="PostGrotesk-Book"/>
          <w:color w:val="55565A"/>
          <w:sz w:val="22"/>
          <w:szCs w:val="22"/>
          <w:lang w:val="en-GB" w:bidi="ar-SA"/>
        </w:rPr>
        <w:t xml:space="preserve"> ensure</w:t>
      </w:r>
      <w:r w:rsidR="006205EA">
        <w:rPr>
          <w:rFonts w:ascii="Calibri" w:eastAsia="Calibri" w:hAnsi="Calibri" w:cs="PostGrotesk-Book"/>
          <w:color w:val="55565A"/>
          <w:sz w:val="22"/>
          <w:szCs w:val="22"/>
          <w:lang w:val="en-GB" w:bidi="ar-SA"/>
        </w:rPr>
        <w:t>s</w:t>
      </w:r>
      <w:r w:rsidRPr="007B16C2">
        <w:rPr>
          <w:rFonts w:ascii="Calibri" w:eastAsia="Calibri" w:hAnsi="Calibri" w:cs="PostGrotesk-Book"/>
          <w:color w:val="55565A"/>
          <w:sz w:val="22"/>
          <w:szCs w:val="22"/>
          <w:lang w:val="en-GB" w:bidi="ar-SA"/>
        </w:rPr>
        <w:t xml:space="preserve"> that security management </w:t>
      </w:r>
      <w:r w:rsidR="006205EA">
        <w:rPr>
          <w:rFonts w:ascii="Calibri" w:eastAsia="Calibri" w:hAnsi="Calibri" w:cs="PostGrotesk-Book"/>
          <w:color w:val="55565A"/>
          <w:sz w:val="22"/>
          <w:szCs w:val="22"/>
          <w:lang w:val="en-GB" w:bidi="ar-SA"/>
        </w:rPr>
        <w:t>including</w:t>
      </w:r>
      <w:r w:rsidRPr="007B16C2">
        <w:rPr>
          <w:rFonts w:ascii="Calibri" w:eastAsia="Calibri" w:hAnsi="Calibri" w:cs="PostGrotesk-Book"/>
          <w:color w:val="55565A"/>
          <w:sz w:val="22"/>
          <w:szCs w:val="22"/>
          <w:lang w:val="en-GB" w:bidi="ar-SA"/>
        </w:rPr>
        <w:t xml:space="preserve"> risk management, information management, personnel management, ICT management and physical management is not a ‘set and forget’ exercise.</w:t>
      </w:r>
    </w:p>
    <w:p w14:paraId="53D40957" w14:textId="77777777" w:rsidR="007B16C2" w:rsidRPr="007B16C2" w:rsidRDefault="007B16C2" w:rsidP="007B16C2">
      <w:pPr>
        <w:pStyle w:val="BodyText"/>
        <w:rPr>
          <w:rFonts w:ascii="Calibri" w:eastAsia="Calibri" w:hAnsi="Calibri" w:cs="PostGrotesk-Book"/>
          <w:color w:val="55565A"/>
          <w:sz w:val="22"/>
          <w:szCs w:val="22"/>
          <w:lang w:val="en-GB" w:bidi="ar-SA"/>
        </w:rPr>
      </w:pPr>
    </w:p>
    <w:p w14:paraId="08772633" w14:textId="12D58D85" w:rsidR="007B16C2" w:rsidRPr="007B16C2" w:rsidRDefault="007B16C2" w:rsidP="007B16C2">
      <w:pPr>
        <w:pStyle w:val="BodyText"/>
        <w:rPr>
          <w:rFonts w:ascii="Calibri" w:eastAsia="Calibri" w:hAnsi="Calibri" w:cs="PostGrotesk-Book"/>
          <w:color w:val="55565A"/>
          <w:sz w:val="22"/>
          <w:szCs w:val="22"/>
          <w:lang w:val="en-GB" w:bidi="ar-SA"/>
        </w:rPr>
      </w:pPr>
      <w:r w:rsidRPr="007B16C2">
        <w:rPr>
          <w:rFonts w:ascii="Calibri" w:eastAsia="Calibri" w:hAnsi="Calibri" w:cs="PostGrotesk-Book"/>
          <w:color w:val="55565A"/>
          <w:sz w:val="22"/>
          <w:szCs w:val="22"/>
          <w:lang w:val="en-GB" w:bidi="ar-SA"/>
        </w:rPr>
        <w:t>The framework requires organisations to:</w:t>
      </w:r>
    </w:p>
    <w:p w14:paraId="5E0132F7" w14:textId="77777777" w:rsidR="007B16C2" w:rsidRPr="007B16C2" w:rsidRDefault="007B16C2" w:rsidP="007B16C2">
      <w:pPr>
        <w:pStyle w:val="BodyText"/>
        <w:rPr>
          <w:rFonts w:ascii="Calibri" w:eastAsia="Calibri" w:hAnsi="Calibri" w:cs="PostGrotesk-Book"/>
          <w:color w:val="55565A"/>
          <w:sz w:val="22"/>
          <w:szCs w:val="22"/>
          <w:lang w:val="en-GB" w:bidi="ar-SA"/>
        </w:rPr>
      </w:pPr>
    </w:p>
    <w:p w14:paraId="6F0D0FA9" w14:textId="25A2D613" w:rsidR="007B16C2" w:rsidRPr="007B16C2" w:rsidRDefault="007B16C2" w:rsidP="007B16C2">
      <w:pPr>
        <w:pStyle w:val="BodyText"/>
        <w:numPr>
          <w:ilvl w:val="0"/>
          <w:numId w:val="21"/>
        </w:numPr>
        <w:ind w:left="360"/>
        <w:rPr>
          <w:rFonts w:ascii="Calibri" w:eastAsia="Calibri" w:hAnsi="Calibri" w:cs="PostGrotesk-Book"/>
          <w:color w:val="55565A"/>
          <w:sz w:val="22"/>
          <w:szCs w:val="22"/>
          <w:lang w:val="en-GB" w:bidi="ar-SA"/>
        </w:rPr>
      </w:pPr>
      <w:r w:rsidRPr="007B16C2">
        <w:rPr>
          <w:rFonts w:ascii="Calibri" w:eastAsia="Calibri" w:hAnsi="Calibri" w:cs="PostGrotesk-Book"/>
          <w:b/>
          <w:bCs/>
          <w:color w:val="55565A"/>
          <w:sz w:val="22"/>
          <w:szCs w:val="22"/>
          <w:lang w:val="en-GB" w:bidi="ar-SA"/>
        </w:rPr>
        <w:t>PLAN</w:t>
      </w:r>
      <w:r w:rsidRPr="007B16C2">
        <w:rPr>
          <w:rFonts w:ascii="Calibri" w:eastAsia="Calibri" w:hAnsi="Calibri" w:cs="PostGrotesk-Book"/>
          <w:color w:val="55565A"/>
          <w:sz w:val="22"/>
          <w:szCs w:val="22"/>
          <w:lang w:val="en-GB" w:bidi="ar-SA"/>
        </w:rPr>
        <w:t xml:space="preserve"> – Contextualise their business objectives: understand the business and its core functions, and plan accordingly</w:t>
      </w:r>
      <w:r w:rsidR="006205EA">
        <w:rPr>
          <w:rFonts w:ascii="Calibri" w:eastAsia="Calibri" w:hAnsi="Calibri" w:cs="PostGrotesk-Book"/>
          <w:color w:val="55565A"/>
          <w:sz w:val="22"/>
          <w:szCs w:val="22"/>
          <w:lang w:val="en-GB" w:bidi="ar-SA"/>
        </w:rPr>
        <w:t>;</w:t>
      </w:r>
    </w:p>
    <w:p w14:paraId="631EAFBE" w14:textId="77777777" w:rsidR="007B16C2" w:rsidRPr="007B16C2" w:rsidRDefault="007B16C2" w:rsidP="007B16C2">
      <w:pPr>
        <w:pStyle w:val="BodyText"/>
        <w:rPr>
          <w:rFonts w:ascii="Calibri" w:eastAsia="Calibri" w:hAnsi="Calibri" w:cs="PostGrotesk-Book"/>
          <w:color w:val="55565A"/>
          <w:sz w:val="22"/>
          <w:szCs w:val="22"/>
          <w:lang w:val="en-GB" w:bidi="ar-SA"/>
        </w:rPr>
      </w:pPr>
    </w:p>
    <w:p w14:paraId="2B48F4DA" w14:textId="72FB5790" w:rsidR="007B16C2" w:rsidRPr="007B16C2" w:rsidRDefault="007B16C2" w:rsidP="007B16C2">
      <w:pPr>
        <w:pStyle w:val="BodyText"/>
        <w:numPr>
          <w:ilvl w:val="0"/>
          <w:numId w:val="21"/>
        </w:numPr>
        <w:ind w:left="360"/>
        <w:rPr>
          <w:rFonts w:ascii="Calibri" w:eastAsia="Calibri" w:hAnsi="Calibri" w:cs="PostGrotesk-Book"/>
          <w:color w:val="55565A"/>
          <w:sz w:val="22"/>
          <w:szCs w:val="22"/>
          <w:lang w:val="en-GB" w:bidi="ar-SA"/>
        </w:rPr>
      </w:pPr>
      <w:r w:rsidRPr="007B16C2">
        <w:rPr>
          <w:rFonts w:ascii="Calibri" w:eastAsia="Calibri" w:hAnsi="Calibri" w:cs="PostGrotesk-Book"/>
          <w:b/>
          <w:bCs/>
          <w:color w:val="55565A"/>
          <w:sz w:val="22"/>
          <w:szCs w:val="22"/>
          <w:lang w:val="en-GB" w:bidi="ar-SA"/>
        </w:rPr>
        <w:t>DO</w:t>
      </w:r>
      <w:r w:rsidRPr="007B16C2">
        <w:rPr>
          <w:rFonts w:ascii="Calibri" w:eastAsia="Calibri" w:hAnsi="Calibri" w:cs="PostGrotesk-Book"/>
          <w:color w:val="55565A"/>
          <w:sz w:val="22"/>
          <w:szCs w:val="22"/>
          <w:lang w:val="en-GB" w:bidi="ar-SA"/>
        </w:rPr>
        <w:t xml:space="preserve"> – Integrate security measures proportionate to business risks: enhance business operations</w:t>
      </w:r>
      <w:r w:rsidR="006205EA">
        <w:rPr>
          <w:rFonts w:ascii="Calibri" w:eastAsia="Calibri" w:hAnsi="Calibri" w:cs="PostGrotesk-Book"/>
          <w:color w:val="55565A"/>
          <w:sz w:val="22"/>
          <w:szCs w:val="22"/>
          <w:lang w:val="en-GB" w:bidi="ar-SA"/>
        </w:rPr>
        <w:t>;</w:t>
      </w:r>
    </w:p>
    <w:p w14:paraId="28E60718" w14:textId="77777777" w:rsidR="007B16C2" w:rsidRPr="007B16C2" w:rsidRDefault="007B16C2" w:rsidP="007B16C2">
      <w:pPr>
        <w:pStyle w:val="BodyText"/>
        <w:rPr>
          <w:rFonts w:ascii="Calibri" w:eastAsia="Calibri" w:hAnsi="Calibri" w:cs="PostGrotesk-Book"/>
          <w:color w:val="55565A"/>
          <w:sz w:val="22"/>
          <w:szCs w:val="22"/>
          <w:lang w:val="en-GB" w:bidi="ar-SA"/>
        </w:rPr>
      </w:pPr>
    </w:p>
    <w:p w14:paraId="1BAAEA87" w14:textId="6A3D0067" w:rsidR="007B16C2" w:rsidRPr="007B16C2" w:rsidRDefault="007B16C2" w:rsidP="007B16C2">
      <w:pPr>
        <w:pStyle w:val="BodyText"/>
        <w:numPr>
          <w:ilvl w:val="0"/>
          <w:numId w:val="21"/>
        </w:numPr>
        <w:ind w:left="360"/>
        <w:rPr>
          <w:rFonts w:ascii="Calibri" w:eastAsia="Calibri" w:hAnsi="Calibri" w:cs="PostGrotesk-Book"/>
          <w:color w:val="55565A"/>
          <w:sz w:val="22"/>
          <w:szCs w:val="22"/>
          <w:lang w:val="en-GB" w:bidi="ar-SA"/>
        </w:rPr>
      </w:pPr>
      <w:r w:rsidRPr="007B16C2">
        <w:rPr>
          <w:rFonts w:ascii="Calibri" w:eastAsia="Calibri" w:hAnsi="Calibri" w:cs="PostGrotesk-Book"/>
          <w:b/>
          <w:bCs/>
          <w:color w:val="55565A"/>
          <w:sz w:val="22"/>
          <w:szCs w:val="22"/>
          <w:lang w:val="en-GB" w:bidi="ar-SA"/>
        </w:rPr>
        <w:t>CHECK</w:t>
      </w:r>
      <w:r w:rsidRPr="007B16C2">
        <w:rPr>
          <w:rFonts w:ascii="Calibri" w:eastAsia="Calibri" w:hAnsi="Calibri" w:cs="PostGrotesk-Book"/>
          <w:color w:val="55565A"/>
          <w:sz w:val="22"/>
          <w:szCs w:val="22"/>
          <w:lang w:val="en-GB" w:bidi="ar-SA"/>
        </w:rPr>
        <w:t>– Consistently monitor business operations: undertake monitoring and assurance activities to ensure that implemented security measures support the business objectives while minimising business risks</w:t>
      </w:r>
      <w:r w:rsidR="006205EA">
        <w:rPr>
          <w:rFonts w:ascii="Calibri" w:eastAsia="Calibri" w:hAnsi="Calibri" w:cs="PostGrotesk-Book"/>
          <w:color w:val="55565A"/>
          <w:sz w:val="22"/>
          <w:szCs w:val="22"/>
          <w:lang w:val="en-GB" w:bidi="ar-SA"/>
        </w:rPr>
        <w:t>; and</w:t>
      </w:r>
    </w:p>
    <w:p w14:paraId="06F40979" w14:textId="77777777" w:rsidR="007B16C2" w:rsidRPr="007B16C2" w:rsidRDefault="007B16C2" w:rsidP="007B16C2">
      <w:pPr>
        <w:pStyle w:val="BodyText"/>
        <w:rPr>
          <w:rFonts w:ascii="Calibri" w:eastAsia="Calibri" w:hAnsi="Calibri" w:cs="PostGrotesk-Book"/>
          <w:color w:val="55565A"/>
          <w:sz w:val="22"/>
          <w:szCs w:val="22"/>
          <w:lang w:val="en-GB" w:bidi="ar-SA"/>
        </w:rPr>
      </w:pPr>
    </w:p>
    <w:p w14:paraId="5B1C24EC" w14:textId="41454D01" w:rsidR="007B16C2" w:rsidRPr="007B16C2" w:rsidRDefault="007B16C2" w:rsidP="007B16C2">
      <w:pPr>
        <w:pStyle w:val="BodyText"/>
        <w:numPr>
          <w:ilvl w:val="0"/>
          <w:numId w:val="21"/>
        </w:numPr>
        <w:ind w:left="360"/>
        <w:rPr>
          <w:rFonts w:ascii="Calibri" w:eastAsia="Calibri" w:hAnsi="Calibri" w:cs="PostGrotesk-Book"/>
          <w:color w:val="55565A"/>
          <w:sz w:val="22"/>
          <w:szCs w:val="22"/>
          <w:lang w:val="en-GB" w:bidi="ar-SA"/>
        </w:rPr>
      </w:pPr>
      <w:r w:rsidRPr="007B16C2">
        <w:rPr>
          <w:rFonts w:ascii="Calibri" w:eastAsia="Calibri" w:hAnsi="Calibri" w:cs="PostGrotesk-Book"/>
          <w:b/>
          <w:bCs/>
          <w:color w:val="55565A"/>
          <w:sz w:val="22"/>
          <w:szCs w:val="22"/>
          <w:lang w:val="en-GB" w:bidi="ar-SA"/>
        </w:rPr>
        <w:t>ACT</w:t>
      </w:r>
      <w:r w:rsidRPr="007B16C2">
        <w:rPr>
          <w:rFonts w:ascii="Calibri" w:eastAsia="Calibri" w:hAnsi="Calibri" w:cs="PostGrotesk-Book"/>
          <w:color w:val="55565A"/>
          <w:sz w:val="22"/>
          <w:szCs w:val="22"/>
          <w:lang w:val="en-GB" w:bidi="ar-SA"/>
        </w:rPr>
        <w:t xml:space="preserve"> – Review, validate and update business objectives, risks and operations based on lessons learn</w:t>
      </w:r>
      <w:r w:rsidR="00436652">
        <w:rPr>
          <w:rFonts w:ascii="Calibri" w:eastAsia="Calibri" w:hAnsi="Calibri" w:cs="PostGrotesk-Book"/>
          <w:color w:val="55565A"/>
          <w:sz w:val="22"/>
          <w:szCs w:val="22"/>
          <w:lang w:val="en-GB" w:bidi="ar-SA"/>
        </w:rPr>
        <w:t>ed</w:t>
      </w:r>
      <w:r w:rsidRPr="007B16C2">
        <w:rPr>
          <w:rFonts w:ascii="Calibri" w:eastAsia="Calibri" w:hAnsi="Calibri" w:cs="PostGrotesk-Book"/>
          <w:color w:val="55565A"/>
          <w:sz w:val="22"/>
          <w:szCs w:val="22"/>
          <w:lang w:val="en-GB" w:bidi="ar-SA"/>
        </w:rPr>
        <w:t>: ensure security measures are updated to support an agile business response to a dynamic environment.</w:t>
      </w:r>
    </w:p>
    <w:p w14:paraId="61C153E4" w14:textId="77777777" w:rsidR="007B16C2" w:rsidRPr="007B16C2" w:rsidRDefault="007B16C2" w:rsidP="007B16C2">
      <w:pPr>
        <w:autoSpaceDE w:val="0"/>
        <w:autoSpaceDN w:val="0"/>
        <w:adjustRightInd w:val="0"/>
        <w:rPr>
          <w:rFonts w:cs="PostGrotesk-Book"/>
          <w:color w:val="55565A"/>
          <w:sz w:val="22"/>
          <w:szCs w:val="22"/>
        </w:rPr>
      </w:pPr>
    </w:p>
    <w:p w14:paraId="50BC29B8" w14:textId="77777777" w:rsidR="007B16C2" w:rsidRPr="007B16C2" w:rsidRDefault="007B16C2" w:rsidP="007B16C2">
      <w:pPr>
        <w:pStyle w:val="BodyText"/>
        <w:rPr>
          <w:rFonts w:ascii="Calibri" w:eastAsia="Calibri" w:hAnsi="Calibri" w:cs="PostGrotesk-Book"/>
          <w:color w:val="55565A"/>
          <w:sz w:val="22"/>
          <w:szCs w:val="22"/>
          <w:lang w:val="en-GB" w:bidi="ar-SA"/>
        </w:rPr>
      </w:pPr>
      <w:r w:rsidRPr="007B16C2">
        <w:rPr>
          <w:rFonts w:ascii="Calibri" w:eastAsia="Calibri" w:hAnsi="Calibri" w:cs="PostGrotesk-Book"/>
          <w:color w:val="55565A"/>
          <w:sz w:val="22"/>
          <w:szCs w:val="22"/>
          <w:lang w:val="en-GB" w:bidi="ar-SA"/>
        </w:rPr>
        <w:t>By adopting this model, your organisation will systematically identify opportunities to mature your protective data security practices and secure information through all stages of its lifecycle.</w:t>
      </w:r>
    </w:p>
    <w:p w14:paraId="5D995427" w14:textId="676FB77A" w:rsidR="007B16C2" w:rsidRDefault="007B16C2" w:rsidP="007B16C2">
      <w:pPr>
        <w:pStyle w:val="BodyText"/>
      </w:pPr>
    </w:p>
    <w:p w14:paraId="43DEA51A" w14:textId="77777777" w:rsidR="007B16C2" w:rsidRDefault="007B16C2" w:rsidP="007B16C2">
      <w:pPr>
        <w:pStyle w:val="BodyText"/>
      </w:pPr>
    </w:p>
    <w:p w14:paraId="5E3E53FA" w14:textId="1AA7F42F" w:rsidR="007B16C2" w:rsidRDefault="007B16C2" w:rsidP="00812D7B">
      <w:pPr>
        <w:pStyle w:val="SectionHeading1"/>
        <w:numPr>
          <w:ilvl w:val="0"/>
          <w:numId w:val="22"/>
        </w:numPr>
        <w:ind w:left="426" w:hanging="426"/>
      </w:pPr>
      <w:bookmarkStart w:id="11" w:name="_Toc25069542"/>
      <w:bookmarkStart w:id="12" w:name="_Toc31984094"/>
      <w:r>
        <w:t xml:space="preserve">Business </w:t>
      </w:r>
      <w:r w:rsidR="00AC1C6A">
        <w:t>o</w:t>
      </w:r>
      <w:r>
        <w:t>bjectives</w:t>
      </w:r>
      <w:bookmarkEnd w:id="11"/>
      <w:bookmarkEnd w:id="12"/>
    </w:p>
    <w:p w14:paraId="182888AC" w14:textId="77777777" w:rsidR="007B16C2" w:rsidRPr="007B16C2" w:rsidRDefault="007B16C2" w:rsidP="007B16C2">
      <w:pPr>
        <w:pStyle w:val="BodyText"/>
        <w:rPr>
          <w:rFonts w:ascii="Calibri" w:eastAsia="Calibri" w:hAnsi="Calibri" w:cs="PostGrotesk-Book"/>
          <w:b/>
          <w:bCs/>
          <w:i/>
          <w:iCs/>
          <w:color w:val="55565A"/>
          <w:sz w:val="22"/>
          <w:szCs w:val="22"/>
          <w:lang w:val="en-GB" w:bidi="ar-SA"/>
        </w:rPr>
      </w:pPr>
      <w:r w:rsidRPr="007B16C2">
        <w:rPr>
          <w:rFonts w:ascii="Calibri" w:eastAsia="Calibri" w:hAnsi="Calibri" w:cs="PostGrotesk-Book"/>
          <w:b/>
          <w:bCs/>
          <w:i/>
          <w:iCs/>
          <w:color w:val="55565A"/>
          <w:sz w:val="22"/>
          <w:szCs w:val="22"/>
          <w:lang w:val="en-GB" w:bidi="ar-SA"/>
        </w:rPr>
        <w:t>Principle 6: Sound protective data security practices enable an organisation to achieve its business objectives in an efficient, effective and economic manner.</w:t>
      </w:r>
    </w:p>
    <w:p w14:paraId="660FE2B5" w14:textId="77777777" w:rsidR="007B16C2" w:rsidRPr="00712825" w:rsidRDefault="007B16C2" w:rsidP="007B16C2">
      <w:pPr>
        <w:pStyle w:val="BodyText"/>
      </w:pPr>
    </w:p>
    <w:p w14:paraId="0A792AC0" w14:textId="7788266D" w:rsidR="007B16C2" w:rsidRPr="007B16C2" w:rsidRDefault="007B16C2" w:rsidP="007B16C2">
      <w:pPr>
        <w:pStyle w:val="BodyText"/>
        <w:rPr>
          <w:rFonts w:ascii="Calibri" w:eastAsia="Calibri" w:hAnsi="Calibri" w:cs="PostGrotesk-Book"/>
          <w:color w:val="55565A"/>
          <w:sz w:val="22"/>
          <w:szCs w:val="22"/>
          <w:lang w:val="en-GB" w:bidi="ar-SA"/>
        </w:rPr>
      </w:pPr>
      <w:r w:rsidRPr="007B16C2">
        <w:rPr>
          <w:rFonts w:ascii="Calibri" w:eastAsia="Calibri" w:hAnsi="Calibri" w:cs="PostGrotesk-Book"/>
          <w:color w:val="55565A"/>
          <w:sz w:val="22"/>
          <w:szCs w:val="22"/>
          <w:lang w:val="en-GB" w:bidi="ar-SA"/>
        </w:rPr>
        <w:t>To deliver value to the Victorian Government and broader community, the VPS must transform the way it understands, uses and consumes information. This concept extends beyond the strict protective data security areas and reflects important principles and themes of information management</w:t>
      </w:r>
      <w:r w:rsidR="00AC1C6A">
        <w:rPr>
          <w:rFonts w:ascii="Calibri" w:eastAsia="Calibri" w:hAnsi="Calibri" w:cs="PostGrotesk-Book"/>
          <w:color w:val="55565A"/>
          <w:sz w:val="22"/>
          <w:szCs w:val="22"/>
          <w:lang w:val="en-GB" w:bidi="ar-SA"/>
        </w:rPr>
        <w:t xml:space="preserve"> principles</w:t>
      </w:r>
      <w:r w:rsidRPr="007B16C2">
        <w:rPr>
          <w:rFonts w:ascii="Calibri" w:eastAsia="Calibri" w:hAnsi="Calibri" w:cs="PostGrotesk-Book"/>
          <w:color w:val="55565A"/>
          <w:sz w:val="22"/>
          <w:szCs w:val="22"/>
          <w:lang w:val="en-GB" w:bidi="ar-SA"/>
        </w:rPr>
        <w:t>.</w:t>
      </w:r>
    </w:p>
    <w:p w14:paraId="6569B7ED" w14:textId="77777777" w:rsidR="007B16C2" w:rsidRPr="007B16C2" w:rsidRDefault="007B16C2" w:rsidP="007B16C2">
      <w:pPr>
        <w:pStyle w:val="BodyText"/>
        <w:rPr>
          <w:rFonts w:ascii="Calibri" w:eastAsia="Calibri" w:hAnsi="Calibri" w:cs="PostGrotesk-Book"/>
          <w:color w:val="55565A"/>
          <w:sz w:val="22"/>
          <w:szCs w:val="22"/>
          <w:lang w:val="en-GB" w:bidi="ar-SA"/>
        </w:rPr>
      </w:pPr>
    </w:p>
    <w:p w14:paraId="23C1F76F" w14:textId="0377F785" w:rsidR="007B16C2" w:rsidRPr="007B16C2" w:rsidRDefault="00AC1C6A" w:rsidP="007B16C2">
      <w:pPr>
        <w:pStyle w:val="BodyText"/>
        <w:rPr>
          <w:rFonts w:ascii="Calibri" w:eastAsia="Calibri" w:hAnsi="Calibri" w:cs="PostGrotesk-Book"/>
          <w:color w:val="55565A"/>
          <w:sz w:val="22"/>
          <w:szCs w:val="22"/>
          <w:lang w:val="en-GB" w:bidi="ar-SA"/>
        </w:rPr>
      </w:pPr>
      <w:r>
        <w:rPr>
          <w:rFonts w:ascii="Calibri" w:eastAsia="Calibri" w:hAnsi="Calibri" w:cs="PostGrotesk-Book"/>
          <w:color w:val="55565A"/>
          <w:sz w:val="22"/>
          <w:szCs w:val="22"/>
          <w:lang w:val="en-GB" w:bidi="ar-SA"/>
        </w:rPr>
        <w:t>A report published in</w:t>
      </w:r>
      <w:r w:rsidRPr="007B16C2">
        <w:rPr>
          <w:rFonts w:ascii="Calibri" w:eastAsia="Calibri" w:hAnsi="Calibri" w:cs="PostGrotesk-Book"/>
          <w:color w:val="55565A"/>
          <w:sz w:val="22"/>
          <w:szCs w:val="22"/>
          <w:lang w:val="en-GB" w:bidi="ar-SA"/>
        </w:rPr>
        <w:t xml:space="preserve"> </w:t>
      </w:r>
      <w:r w:rsidR="007B16C2" w:rsidRPr="007B16C2">
        <w:rPr>
          <w:rFonts w:ascii="Calibri" w:eastAsia="Calibri" w:hAnsi="Calibri" w:cs="PostGrotesk-Book"/>
          <w:color w:val="55565A"/>
          <w:sz w:val="22"/>
          <w:szCs w:val="22"/>
          <w:lang w:val="en-GB" w:bidi="ar-SA"/>
        </w:rPr>
        <w:t>December 2015 by the Victorian Auditor General: Access to Public Sector Information</w:t>
      </w:r>
      <w:r w:rsidR="0030127F">
        <w:rPr>
          <w:rStyle w:val="FootnoteReference"/>
          <w:rFonts w:ascii="Calibri" w:eastAsia="Calibri" w:hAnsi="Calibri" w:cs="PostGrotesk-Book"/>
          <w:color w:val="55565A"/>
          <w:sz w:val="22"/>
          <w:szCs w:val="22"/>
          <w:lang w:val="en-GB" w:bidi="ar-SA"/>
        </w:rPr>
        <w:footnoteReference w:id="4"/>
      </w:r>
      <w:r w:rsidR="007B16C2" w:rsidRPr="007B16C2">
        <w:rPr>
          <w:rFonts w:ascii="Calibri" w:eastAsia="Calibri" w:hAnsi="Calibri" w:cs="PostGrotesk-Book"/>
          <w:color w:val="55565A"/>
          <w:sz w:val="22"/>
          <w:szCs w:val="22"/>
          <w:lang w:val="en-GB" w:bidi="ar-SA"/>
        </w:rPr>
        <w:t xml:space="preserve"> stated that previous eﬀorts to establish a “foundation of comprehensive and sound information management (</w:t>
      </w:r>
      <w:r w:rsidR="007B16C2" w:rsidRPr="000F52EA">
        <w:rPr>
          <w:rFonts w:ascii="Calibri" w:eastAsia="Calibri" w:hAnsi="Calibri" w:cs="PostGrotesk-Book"/>
          <w:b/>
          <w:bCs/>
          <w:color w:val="55565A"/>
          <w:sz w:val="22"/>
          <w:szCs w:val="22"/>
          <w:lang w:val="en-GB" w:bidi="ar-SA"/>
        </w:rPr>
        <w:t>IM</w:t>
      </w:r>
      <w:r w:rsidR="007B16C2" w:rsidRPr="007B16C2">
        <w:rPr>
          <w:rFonts w:ascii="Calibri" w:eastAsia="Calibri" w:hAnsi="Calibri" w:cs="PostGrotesk-Book"/>
          <w:color w:val="55565A"/>
          <w:sz w:val="22"/>
          <w:szCs w:val="22"/>
          <w:lang w:val="en-GB" w:bidi="ar-SA"/>
        </w:rPr>
        <w:t>) practices have been neglected”, resulting in organisations not properly understanding nor managing the information they hold.</w:t>
      </w:r>
    </w:p>
    <w:p w14:paraId="633E2C39" w14:textId="77777777" w:rsidR="007B16C2" w:rsidRPr="007B16C2" w:rsidRDefault="007B16C2" w:rsidP="007B16C2">
      <w:pPr>
        <w:pStyle w:val="BodyText"/>
        <w:rPr>
          <w:rFonts w:ascii="Calibri" w:eastAsia="Calibri" w:hAnsi="Calibri" w:cs="PostGrotesk-Book"/>
          <w:color w:val="55565A"/>
          <w:sz w:val="22"/>
          <w:szCs w:val="22"/>
          <w:lang w:val="en-GB" w:bidi="ar-SA"/>
        </w:rPr>
      </w:pPr>
    </w:p>
    <w:p w14:paraId="63336ACF" w14:textId="67503988" w:rsidR="007B16C2" w:rsidRPr="007B16C2" w:rsidRDefault="007B16C2" w:rsidP="007B16C2">
      <w:pPr>
        <w:pStyle w:val="BodyText"/>
        <w:rPr>
          <w:rFonts w:ascii="Calibri" w:eastAsia="Calibri" w:hAnsi="Calibri" w:cs="PostGrotesk-Book"/>
          <w:color w:val="55565A"/>
          <w:sz w:val="22"/>
          <w:szCs w:val="22"/>
          <w:lang w:val="en-GB" w:bidi="ar-SA"/>
        </w:rPr>
      </w:pPr>
      <w:r w:rsidRPr="007B16C2">
        <w:rPr>
          <w:rFonts w:ascii="Calibri" w:eastAsia="Calibri" w:hAnsi="Calibri" w:cs="PostGrotesk-Book"/>
          <w:color w:val="55565A"/>
          <w:sz w:val="22"/>
          <w:szCs w:val="22"/>
          <w:lang w:val="en-GB" w:bidi="ar-SA"/>
        </w:rPr>
        <w:t>Organisations must have confidence in information they use when doing business, to enable maximum value (eﬃciency), ensure the delivery of quality outcomes (eﬀectiveness) and minimise costs (economy).</w:t>
      </w:r>
    </w:p>
    <w:p w14:paraId="46957AD0" w14:textId="77777777" w:rsidR="007B16C2" w:rsidRPr="007B16C2" w:rsidRDefault="007B16C2" w:rsidP="007B16C2">
      <w:pPr>
        <w:pStyle w:val="BodyText"/>
        <w:rPr>
          <w:rFonts w:ascii="Calibri" w:eastAsia="Calibri" w:hAnsi="Calibri" w:cs="PostGrotesk-Book"/>
          <w:color w:val="55565A"/>
          <w:sz w:val="22"/>
          <w:szCs w:val="22"/>
          <w:lang w:val="en-GB" w:bidi="ar-SA"/>
        </w:rPr>
      </w:pPr>
    </w:p>
    <w:p w14:paraId="6F9561D0" w14:textId="12400E5A" w:rsidR="007B16C2" w:rsidRPr="007B16C2" w:rsidRDefault="007B16C2" w:rsidP="007B16C2">
      <w:pPr>
        <w:pStyle w:val="BodyText"/>
        <w:rPr>
          <w:rFonts w:ascii="Calibri" w:eastAsia="Calibri" w:hAnsi="Calibri" w:cs="PostGrotesk-Book"/>
          <w:color w:val="55565A"/>
          <w:sz w:val="22"/>
          <w:szCs w:val="22"/>
          <w:lang w:val="en-GB" w:bidi="ar-SA"/>
        </w:rPr>
      </w:pPr>
      <w:r w:rsidRPr="007B16C2">
        <w:rPr>
          <w:rFonts w:ascii="Calibri" w:eastAsia="Calibri" w:hAnsi="Calibri" w:cs="PostGrotesk-Book"/>
          <w:color w:val="55565A"/>
          <w:sz w:val="22"/>
          <w:szCs w:val="22"/>
          <w:lang w:val="en-GB" w:bidi="ar-SA"/>
        </w:rPr>
        <w:t xml:space="preserve">By employing the protective data security measures of the Framework and Standards, your organisation can ensure the core attributes of your information (confidentiality, integrity and availability) are maintained, and have confidence that your information can be relied on to make quality </w:t>
      </w:r>
      <w:proofErr w:type="spellStart"/>
      <w:proofErr w:type="gramStart"/>
      <w:r w:rsidRPr="007B16C2">
        <w:rPr>
          <w:rFonts w:ascii="Calibri" w:eastAsia="Calibri" w:hAnsi="Calibri" w:cs="PostGrotesk-Book"/>
          <w:color w:val="55565A"/>
          <w:sz w:val="22"/>
          <w:szCs w:val="22"/>
          <w:lang w:val="en-GB" w:bidi="ar-SA"/>
        </w:rPr>
        <w:t>decisions.</w:t>
      </w:r>
      <w:r w:rsidR="00C95EB5">
        <w:rPr>
          <w:rFonts w:ascii="Calibri" w:eastAsia="Calibri" w:hAnsi="Calibri" w:cs="PostGrotesk-Book"/>
          <w:color w:val="55565A"/>
          <w:sz w:val="22"/>
          <w:szCs w:val="22"/>
          <w:lang w:val="en-GB" w:bidi="ar-SA"/>
        </w:rPr>
        <w:t>S</w:t>
      </w:r>
      <w:proofErr w:type="spellEnd"/>
      <w:proofErr w:type="gramEnd"/>
    </w:p>
    <w:p w14:paraId="50D66A1D" w14:textId="77777777" w:rsidR="007B16C2" w:rsidRPr="007B16C2" w:rsidRDefault="007B16C2" w:rsidP="007B16C2">
      <w:pPr>
        <w:pStyle w:val="BodyText"/>
        <w:rPr>
          <w:rFonts w:ascii="Calibri" w:eastAsia="Calibri" w:hAnsi="Calibri" w:cs="PostGrotesk-Book"/>
          <w:color w:val="55565A"/>
          <w:sz w:val="22"/>
          <w:szCs w:val="22"/>
          <w:lang w:val="en-GB" w:bidi="ar-SA"/>
        </w:rPr>
      </w:pPr>
    </w:p>
    <w:p w14:paraId="4CB1B69F" w14:textId="5D7E5880" w:rsidR="007B16C2" w:rsidRPr="007B16C2" w:rsidRDefault="007B16C2" w:rsidP="007B16C2">
      <w:pPr>
        <w:pStyle w:val="BodyText"/>
        <w:rPr>
          <w:rFonts w:ascii="Calibri" w:eastAsia="Calibri" w:hAnsi="Calibri" w:cs="PostGrotesk-Book"/>
          <w:color w:val="55565A"/>
          <w:sz w:val="22"/>
          <w:szCs w:val="22"/>
          <w:lang w:val="en-GB" w:bidi="ar-SA"/>
        </w:rPr>
      </w:pPr>
      <w:r w:rsidRPr="007B16C2">
        <w:rPr>
          <w:rFonts w:ascii="Calibri" w:eastAsia="Calibri" w:hAnsi="Calibri" w:cs="PostGrotesk-Book"/>
          <w:color w:val="55565A"/>
          <w:sz w:val="22"/>
          <w:szCs w:val="22"/>
          <w:lang w:val="en-GB" w:bidi="ar-SA"/>
        </w:rPr>
        <w:t>The Framework and Standards enable your organisation to continually refine your security measures and respond to the changing needs of your internal business and the broader operational environment, including delivering value to the VPS.</w:t>
      </w:r>
    </w:p>
    <w:p w14:paraId="58B7D4AA" w14:textId="77777777" w:rsidR="007B16C2" w:rsidRDefault="007B16C2" w:rsidP="007B16C2"/>
    <w:p w14:paraId="1F6674F9" w14:textId="77777777" w:rsidR="007B16C2" w:rsidRDefault="007B16C2" w:rsidP="007B16C2">
      <w:pPr>
        <w:pStyle w:val="Body"/>
      </w:pPr>
    </w:p>
    <w:p w14:paraId="24632DB2" w14:textId="77777777" w:rsidR="00C736EC" w:rsidRPr="0086734F" w:rsidRDefault="00C736EC" w:rsidP="00C736EC">
      <w:pPr>
        <w:pStyle w:val="FurtherInfo"/>
        <w:outlineLvl w:val="0"/>
      </w:pPr>
      <w:r w:rsidRPr="0086734F">
        <w:t>Further Infor</w:t>
      </w:r>
      <w:r w:rsidRPr="00372C3E">
        <w:t>mat</w:t>
      </w:r>
      <w:r w:rsidRPr="0086734F">
        <w:t>ion</w:t>
      </w:r>
    </w:p>
    <w:p w14:paraId="0BDCC056" w14:textId="77777777" w:rsidR="00C736EC" w:rsidRDefault="00C736EC" w:rsidP="00C736EC">
      <w:pPr>
        <w:pStyle w:val="BasicParagraph"/>
        <w:pBdr>
          <w:top w:val="single" w:sz="4" w:space="6" w:color="430098"/>
        </w:pBdr>
        <w:spacing w:after="170"/>
        <w:rPr>
          <w:rFonts w:ascii="PostGrotesk-Medium" w:hAnsi="PostGrotesk-Medium" w:cs="PostGrotesk-Medium"/>
          <w:color w:val="00A5B5"/>
        </w:rPr>
        <w:sectPr w:rsidR="00C736EC" w:rsidSect="00E45B00">
          <w:headerReference w:type="even" r:id="rId12"/>
          <w:headerReference w:type="default" r:id="rId13"/>
          <w:footerReference w:type="default" r:id="rId14"/>
          <w:headerReference w:type="first" r:id="rId15"/>
          <w:footerReference w:type="first" r:id="rId16"/>
          <w:type w:val="continuous"/>
          <w:pgSz w:w="11900" w:h="16840"/>
          <w:pgMar w:top="1134" w:right="1134" w:bottom="1134" w:left="1134" w:header="1134" w:footer="709" w:gutter="0"/>
          <w:cols w:space="720"/>
          <w:titlePg/>
          <w:docGrid w:linePitch="360"/>
        </w:sectPr>
      </w:pPr>
    </w:p>
    <w:p w14:paraId="2ECB5F56" w14:textId="77777777" w:rsidR="00C736EC" w:rsidRPr="00780584" w:rsidRDefault="00C736EC" w:rsidP="00C736EC">
      <w:pPr>
        <w:widowControl w:val="0"/>
        <w:suppressAutoHyphens/>
        <w:autoSpaceDE w:val="0"/>
        <w:autoSpaceDN w:val="0"/>
        <w:adjustRightInd w:val="0"/>
        <w:spacing w:after="120" w:line="288" w:lineRule="auto"/>
        <w:textAlignment w:val="center"/>
        <w:outlineLvl w:val="0"/>
        <w:rPr>
          <w:rFonts w:cs="PostGrotesk-Medium"/>
          <w:b/>
          <w:color w:val="55565A"/>
        </w:rPr>
      </w:pPr>
      <w:r w:rsidRPr="00780584">
        <w:rPr>
          <w:rFonts w:cs="PostGrotesk-Medium"/>
          <w:b/>
          <w:color w:val="55565A"/>
        </w:rPr>
        <w:t>Contact Us</w:t>
      </w:r>
    </w:p>
    <w:p w14:paraId="4B1533A5" w14:textId="77777777" w:rsidR="00C736EC" w:rsidRPr="00780584" w:rsidRDefault="00C736EC" w:rsidP="00C736EC">
      <w:pPr>
        <w:widowControl w:val="0"/>
        <w:tabs>
          <w:tab w:val="left" w:pos="284"/>
          <w:tab w:val="left" w:pos="709"/>
        </w:tabs>
        <w:suppressAutoHyphens/>
        <w:autoSpaceDE w:val="0"/>
        <w:autoSpaceDN w:val="0"/>
        <w:adjustRightInd w:val="0"/>
        <w:spacing w:after="240"/>
        <w:textAlignment w:val="center"/>
        <w:rPr>
          <w:rFonts w:cs="PostGrotesk-Book"/>
          <w:color w:val="55565A"/>
          <w:sz w:val="22"/>
          <w:szCs w:val="22"/>
        </w:rPr>
      </w:pPr>
      <w:r w:rsidRPr="00780584">
        <w:rPr>
          <w:rFonts w:cs="PostGrotesk-Book"/>
          <w:b/>
          <w:color w:val="430098"/>
          <w:sz w:val="22"/>
          <w:szCs w:val="22"/>
        </w:rPr>
        <w:t>t:</w:t>
      </w:r>
      <w:r w:rsidRPr="00780584">
        <w:rPr>
          <w:rFonts w:cs="PostGrotesk-Book"/>
          <w:color w:val="55565A"/>
          <w:sz w:val="22"/>
          <w:szCs w:val="22"/>
        </w:rPr>
        <w:tab/>
        <w:t xml:space="preserve">1300 00 6842 </w:t>
      </w:r>
      <w:r w:rsidRPr="00780584">
        <w:rPr>
          <w:rFonts w:cs="PostGrotesk-Book"/>
          <w:color w:val="55565A"/>
          <w:sz w:val="22"/>
          <w:szCs w:val="22"/>
        </w:rPr>
        <w:br/>
      </w:r>
      <w:r w:rsidRPr="00780584">
        <w:rPr>
          <w:rFonts w:cs="PostGrotesk-Book"/>
          <w:b/>
          <w:color w:val="430098"/>
          <w:sz w:val="22"/>
          <w:szCs w:val="22"/>
        </w:rPr>
        <w:t>e:</w:t>
      </w:r>
      <w:r w:rsidRPr="00780584">
        <w:rPr>
          <w:rFonts w:cs="PostGrotesk-Book"/>
          <w:color w:val="55565A"/>
          <w:sz w:val="22"/>
          <w:szCs w:val="22"/>
        </w:rPr>
        <w:tab/>
        <w:t>enquiries@ovic.vic.gov.au</w:t>
      </w:r>
      <w:r w:rsidRPr="00780584">
        <w:rPr>
          <w:rFonts w:cs="PostGrotesk-Book"/>
          <w:color w:val="55565A"/>
          <w:sz w:val="22"/>
          <w:szCs w:val="22"/>
        </w:rPr>
        <w:br/>
      </w:r>
      <w:r w:rsidRPr="00780584">
        <w:rPr>
          <w:rFonts w:cs="PostGrotesk-Book"/>
          <w:b/>
          <w:color w:val="430098"/>
          <w:sz w:val="22"/>
          <w:szCs w:val="22"/>
        </w:rPr>
        <w:t>w:</w:t>
      </w:r>
      <w:r w:rsidRPr="00780584">
        <w:rPr>
          <w:rFonts w:cs="PostGrotesk-Book"/>
          <w:color w:val="55565A"/>
          <w:sz w:val="22"/>
          <w:szCs w:val="22"/>
        </w:rPr>
        <w:tab/>
        <w:t>ovic.vic.gov.au</w:t>
      </w:r>
      <w:r>
        <w:rPr>
          <w:rFonts w:cs="PostGrotesk-Book"/>
          <w:color w:val="55565A"/>
          <w:sz w:val="22"/>
          <w:szCs w:val="22"/>
        </w:rPr>
        <w:br w:type="column"/>
      </w:r>
      <w:r w:rsidRPr="00780584">
        <w:rPr>
          <w:rFonts w:cs="PostGrotesk-Medium"/>
          <w:b/>
          <w:color w:val="55565A"/>
        </w:rPr>
        <w:t xml:space="preserve">Disclaimer </w:t>
      </w:r>
    </w:p>
    <w:p w14:paraId="076B0CC6" w14:textId="02595AD3" w:rsidR="00C736EC" w:rsidRPr="00780584" w:rsidRDefault="00C736EC" w:rsidP="00C736EC">
      <w:pPr>
        <w:widowControl w:val="0"/>
        <w:suppressAutoHyphens/>
        <w:autoSpaceDE w:val="0"/>
        <w:autoSpaceDN w:val="0"/>
        <w:adjustRightInd w:val="0"/>
        <w:textAlignment w:val="center"/>
        <w:rPr>
          <w:rFonts w:cs="PostGrotesk-Book"/>
          <w:color w:val="55565A"/>
          <w:sz w:val="18"/>
          <w:szCs w:val="22"/>
        </w:rPr>
      </w:pPr>
      <w:r w:rsidRPr="00780584">
        <w:rPr>
          <w:rFonts w:cs="PostGrotesk-Book"/>
          <w:color w:val="55565A"/>
          <w:sz w:val="16"/>
          <w:szCs w:val="22"/>
        </w:rPr>
        <w:t>This fact sheet does not constitute legal advice and should not be used as a substitute for applying the provisions of the Freedom of Information Act 1982</w:t>
      </w:r>
      <w:r w:rsidR="00A14089">
        <w:rPr>
          <w:rFonts w:cs="PostGrotesk-Book"/>
          <w:color w:val="55565A"/>
          <w:sz w:val="16"/>
          <w:szCs w:val="22"/>
        </w:rPr>
        <w:t xml:space="preserve"> Privacy and Data Protection Act 2014</w:t>
      </w:r>
      <w:r w:rsidRPr="00780584">
        <w:rPr>
          <w:rFonts w:cs="PostGrotesk-Book"/>
          <w:color w:val="55565A"/>
          <w:sz w:val="16"/>
          <w:szCs w:val="22"/>
        </w:rPr>
        <w:t>, or any other legal requirement, to individual cases</w:t>
      </w:r>
      <w:r w:rsidRPr="00780584">
        <w:rPr>
          <w:rFonts w:cs="PostGrotesk-Book"/>
          <w:color w:val="55565A"/>
          <w:sz w:val="18"/>
          <w:szCs w:val="22"/>
        </w:rPr>
        <w:t>.</w:t>
      </w:r>
    </w:p>
    <w:p w14:paraId="30D5B483" w14:textId="77777777" w:rsidR="00C736EC" w:rsidRDefault="00C736EC" w:rsidP="00C736EC">
      <w:pPr>
        <w:pStyle w:val="Disclaimer"/>
      </w:pPr>
    </w:p>
    <w:p w14:paraId="117AE25B" w14:textId="77777777" w:rsidR="00C736EC" w:rsidRDefault="00C736EC" w:rsidP="00C736EC">
      <w:pPr>
        <w:pStyle w:val="SectionHeading1"/>
        <w:outlineLvl w:val="0"/>
        <w:sectPr w:rsidR="00C736EC" w:rsidSect="00C736EC">
          <w:headerReference w:type="even" r:id="rId17"/>
          <w:headerReference w:type="default" r:id="rId18"/>
          <w:headerReference w:type="first" r:id="rId19"/>
          <w:footerReference w:type="first" r:id="rId20"/>
          <w:type w:val="continuous"/>
          <w:pgSz w:w="11900" w:h="16840"/>
          <w:pgMar w:top="1134" w:right="1134" w:bottom="1134" w:left="1134" w:header="1134" w:footer="510" w:gutter="0"/>
          <w:cols w:num="2" w:space="720"/>
          <w:titlePg/>
          <w:docGrid w:linePitch="360"/>
        </w:sectPr>
      </w:pPr>
    </w:p>
    <w:p w14:paraId="324A6B97" w14:textId="77777777" w:rsidR="000677DA" w:rsidRDefault="000677DA" w:rsidP="00C736EC">
      <w:pPr>
        <w:pStyle w:val="SectionHeading1"/>
        <w:outlineLvl w:val="0"/>
      </w:pPr>
    </w:p>
    <w:sectPr w:rsidR="000677DA" w:rsidSect="009236D4">
      <w:type w:val="continuous"/>
      <w:pgSz w:w="11900" w:h="16840"/>
      <w:pgMar w:top="1134" w:right="1134" w:bottom="1134" w:left="1134" w:header="1134" w:footer="51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8CEA3" w16cex:dateUtc="2020-02-19T22:23:00Z"/>
  <w16cex:commentExtensible w16cex:durableId="21F8CFA2" w16cex:dateUtc="2020-02-19T22: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2BFD7" w14:textId="77777777" w:rsidR="00986AF0" w:rsidRDefault="00986AF0" w:rsidP="00B53C78">
      <w:r>
        <w:separator/>
      </w:r>
    </w:p>
  </w:endnote>
  <w:endnote w:type="continuationSeparator" w:id="0">
    <w:p w14:paraId="12EC0B08" w14:textId="77777777" w:rsidR="00986AF0" w:rsidRDefault="00986AF0"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charset w:val="00"/>
    <w:family w:val="auto"/>
    <w:pitch w:val="variable"/>
    <w:sig w:usb0="00000001" w:usb1="00000001" w:usb2="00000000" w:usb3="00000000" w:csb0="0000019F" w:csb1="00000000"/>
  </w:font>
  <w:font w:name="PostGrotesk-Book">
    <w:altName w:val="Times New Roman"/>
    <w:charset w:val="00"/>
    <w:family w:val="auto"/>
    <w:pitch w:val="variable"/>
    <w:sig w:usb0="00000001" w:usb1="500160FB" w:usb2="00000000" w:usb3="00000000" w:csb0="0000009B" w:csb1="00000000"/>
  </w:font>
  <w:font w:name="PostGrotesk-Medium">
    <w:altName w:val="Times New Roman"/>
    <w:charset w:val="00"/>
    <w:family w:val="auto"/>
    <w:pitch w:val="variable"/>
    <w:sig w:usb0="00000001" w:usb1="5001607B" w:usb2="00000000" w:usb3="00000000" w:csb0="00000193" w:csb1="00000000"/>
  </w:font>
  <w:font w:name="Arial">
    <w:panose1 w:val="020B0604020202020204"/>
    <w:charset w:val="00"/>
    <w:family w:val="swiss"/>
    <w:pitch w:val="variable"/>
    <w:sig w:usb0="E0002EFF" w:usb1="C000785B" w:usb2="00000009" w:usb3="00000000" w:csb0="000001FF" w:csb1="00000000"/>
  </w:font>
  <w:font w:name="Museo Sans">
    <w:altName w:val="Calibri"/>
    <w:charset w:val="00"/>
    <w:family w:val="auto"/>
    <w:pitch w:val="variable"/>
    <w:sig w:usb0="A000002F" w:usb1="4000004B" w:usb2="00000000" w:usb3="00000000" w:csb0="00000093" w:csb1="00000000"/>
  </w:font>
  <w:font w:name="AppleSystemUIFont">
    <w:altName w:val="Calibri"/>
    <w:panose1 w:val="00000000000000000000"/>
    <w:charset w:val="00"/>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AppleSystemUIFont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EB41" w14:textId="77777777" w:rsidR="008B4992" w:rsidRPr="00F4301B" w:rsidRDefault="00ED7EF6" w:rsidP="00F4301B">
    <w:pPr>
      <w:pStyle w:val="Footer"/>
      <w:jc w:val="right"/>
      <w:rPr>
        <w:sz w:val="22"/>
      </w:rPr>
    </w:pPr>
    <w:r w:rsidRPr="00F4301B">
      <w:rPr>
        <w:rFonts w:cs="Arial"/>
        <w:sz w:val="20"/>
      </w:rPr>
      <w:t xml:space="preserve">Freedom of Information </w:t>
    </w:r>
    <w:r w:rsidRPr="00F4301B">
      <w:rPr>
        <w:rFonts w:cs="Arial"/>
        <w:color w:val="E5007D"/>
        <w:sz w:val="20"/>
      </w:rPr>
      <w:t>|</w:t>
    </w:r>
    <w:r w:rsidRPr="00F4301B">
      <w:rPr>
        <w:rFonts w:cs="Arial"/>
        <w:sz w:val="20"/>
      </w:rPr>
      <w:t xml:space="preserve"> Privacy </w:t>
    </w:r>
    <w:r w:rsidRPr="00F4301B">
      <w:rPr>
        <w:rFonts w:cs="Arial"/>
        <w:color w:val="E5007D"/>
        <w:sz w:val="20"/>
      </w:rPr>
      <w:t>|</w:t>
    </w:r>
    <w:r w:rsidRPr="00F4301B">
      <w:rPr>
        <w:rFonts w:cs="Arial"/>
        <w:sz w:val="20"/>
      </w:rPr>
      <w:t xml:space="preserve"> Data Protection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19E63" w14:textId="15E95502" w:rsidR="00A14089" w:rsidRPr="00A14089" w:rsidRDefault="00A14089" w:rsidP="00A14089">
    <w:pPr>
      <w:pStyle w:val="Footer"/>
      <w:spacing w:before="120"/>
      <w:rPr>
        <w:rFonts w:cs="Arial"/>
        <w:i/>
        <w:iCs/>
        <w:sz w:val="20"/>
      </w:rPr>
    </w:pPr>
    <w:r w:rsidRPr="00A14089">
      <w:rPr>
        <w:rFonts w:cs="Arial"/>
        <w:i/>
        <w:iCs/>
        <w:sz w:val="20"/>
      </w:rPr>
      <w:t xml:space="preserve">February 2020 – Version </w:t>
    </w:r>
    <w:r w:rsidR="007B16C2">
      <w:rPr>
        <w:rFonts w:cs="Arial"/>
        <w:i/>
        <w:iCs/>
        <w:sz w:val="20"/>
      </w:rPr>
      <w:t>1.0</w:t>
    </w:r>
  </w:p>
  <w:p w14:paraId="37C19C43" w14:textId="6E19E2E0" w:rsidR="00CE7458" w:rsidRPr="009C5614" w:rsidRDefault="00ED7EF6" w:rsidP="009C5614">
    <w:pPr>
      <w:pStyle w:val="Footer"/>
      <w:spacing w:before="120"/>
      <w:jc w:val="right"/>
    </w:pPr>
    <w:r w:rsidRPr="009C5614">
      <w:rPr>
        <w:rFonts w:cs="Arial"/>
        <w:sz w:val="20"/>
      </w:rPr>
      <w:t xml:space="preserve">Freedom of Information </w:t>
    </w:r>
    <w:r w:rsidRPr="009C5614">
      <w:rPr>
        <w:rFonts w:cs="Arial"/>
        <w:color w:val="E5007D"/>
        <w:sz w:val="20"/>
      </w:rPr>
      <w:t>|</w:t>
    </w:r>
    <w:r w:rsidRPr="009C5614">
      <w:rPr>
        <w:rFonts w:cs="Arial"/>
        <w:sz w:val="20"/>
      </w:rPr>
      <w:t xml:space="preserve"> Privacy </w:t>
    </w:r>
    <w:r w:rsidRPr="009C5614">
      <w:rPr>
        <w:rFonts w:cs="Arial"/>
        <w:color w:val="E5007D"/>
        <w:sz w:val="20"/>
      </w:rPr>
      <w:t>|</w:t>
    </w:r>
    <w:r w:rsidRPr="009C5614">
      <w:rPr>
        <w:rFonts w:cs="Arial"/>
        <w:sz w:val="20"/>
      </w:rPr>
      <w:t xml:space="preserve"> Data Protection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8AF69" w14:textId="0F8A2113" w:rsidR="00A14089" w:rsidRPr="00A14089" w:rsidRDefault="00A14089" w:rsidP="006612A9">
    <w:pPr>
      <w:pStyle w:val="Footer"/>
      <w:spacing w:before="120"/>
      <w:rPr>
        <w:rFonts w:cs="Arial"/>
        <w:i/>
        <w:iCs/>
        <w:sz w:val="20"/>
      </w:rPr>
    </w:pPr>
    <w:r w:rsidRPr="00A14089">
      <w:rPr>
        <w:rFonts w:cs="Arial"/>
        <w:i/>
        <w:iCs/>
        <w:sz w:val="20"/>
      </w:rPr>
      <w:t xml:space="preserve">February 2020 – Version </w:t>
    </w:r>
    <w:r w:rsidR="007B16C2">
      <w:rPr>
        <w:rFonts w:cs="Arial"/>
        <w:i/>
        <w:iCs/>
        <w:sz w:val="20"/>
      </w:rPr>
      <w:t>1.0</w:t>
    </w:r>
  </w:p>
  <w:p w14:paraId="72B6EE87" w14:textId="43AE7F5B" w:rsidR="00C736EC" w:rsidRDefault="008536E9" w:rsidP="006612A9">
    <w:pPr>
      <w:pStyle w:val="Footer"/>
      <w:spacing w:before="120"/>
    </w:pPr>
    <w:r>
      <w:rPr>
        <w:noProof/>
        <w:lang w:val="en-AU" w:eastAsia="en-AU"/>
      </w:rPr>
      <w:drawing>
        <wp:inline distT="0" distB="0" distL="0" distR="0" wp14:anchorId="0519E2F1" wp14:editId="4D23EB8D">
          <wp:extent cx="3339465" cy="179070"/>
          <wp:effectExtent l="0" t="0" r="0" b="0"/>
          <wp:docPr id="25" name="Picture 25" descr="tagline_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agline_fact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465" cy="17907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F4A51" w14:textId="77777777" w:rsidR="00C736EC" w:rsidRDefault="008536E9" w:rsidP="006612A9">
    <w:pPr>
      <w:pStyle w:val="Footer"/>
      <w:spacing w:before="120"/>
    </w:pPr>
    <w:r>
      <w:rPr>
        <w:noProof/>
        <w:lang w:val="en-AU" w:eastAsia="en-AU"/>
      </w:rPr>
      <w:drawing>
        <wp:inline distT="0" distB="0" distL="0" distR="0" wp14:anchorId="28C662B4" wp14:editId="5DC556E6">
          <wp:extent cx="3339465" cy="179070"/>
          <wp:effectExtent l="0" t="0" r="0" b="0"/>
          <wp:docPr id="26" name="Picture 26" descr="tagline_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agline_fact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465" cy="179070"/>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BA3B5" w14:textId="77777777" w:rsidR="00BD07DC" w:rsidRDefault="00BD07DC" w:rsidP="00BD07DC">
    <w:pPr>
      <w:pStyle w:val="Footer"/>
      <w:spacing w:before="240"/>
    </w:pPr>
    <w:r w:rsidRPr="00B60B75">
      <w:t xml:space="preserve">Freedom of Information </w:t>
    </w:r>
    <w:r w:rsidRPr="006A02A9">
      <w:rPr>
        <w:color w:val="E5007D"/>
      </w:rPr>
      <w:t>|</w:t>
    </w:r>
    <w:r w:rsidRPr="00B60B75">
      <w:t xml:space="preserve"> Privacy </w:t>
    </w:r>
    <w:r w:rsidRPr="006A02A9">
      <w:rPr>
        <w:color w:val="E5007D"/>
      </w:rPr>
      <w:t>|</w:t>
    </w:r>
    <w:r w:rsidRPr="00B60B75">
      <w:t xml:space="preserve"> </w:t>
    </w:r>
    <w:r w:rsidRPr="00BD07DC">
      <w:t>Data Protection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013D0" w14:textId="77777777" w:rsidR="00986AF0" w:rsidRDefault="00986AF0" w:rsidP="00B53C78">
      <w:r>
        <w:separator/>
      </w:r>
    </w:p>
  </w:footnote>
  <w:footnote w:type="continuationSeparator" w:id="0">
    <w:p w14:paraId="0CCD5F9B" w14:textId="77777777" w:rsidR="00986AF0" w:rsidRDefault="00986AF0" w:rsidP="00B53C78">
      <w:r>
        <w:continuationSeparator/>
      </w:r>
    </w:p>
  </w:footnote>
  <w:footnote w:id="1">
    <w:p w14:paraId="53924912" w14:textId="77777777" w:rsidR="007B16C2" w:rsidRPr="00C95EB5" w:rsidRDefault="007B16C2" w:rsidP="007B16C2">
      <w:pPr>
        <w:pStyle w:val="FootnoteText"/>
        <w:rPr>
          <w:color w:val="595959" w:themeColor="text1" w:themeTint="A6"/>
          <w:sz w:val="16"/>
          <w:szCs w:val="16"/>
        </w:rPr>
      </w:pPr>
      <w:r w:rsidRPr="00C95EB5">
        <w:rPr>
          <w:rStyle w:val="FootnoteReference"/>
          <w:color w:val="595959" w:themeColor="text1" w:themeTint="A6"/>
          <w:sz w:val="16"/>
          <w:szCs w:val="16"/>
        </w:rPr>
        <w:footnoteRef/>
      </w:r>
      <w:r w:rsidRPr="00C95EB5">
        <w:rPr>
          <w:color w:val="595959" w:themeColor="text1" w:themeTint="A6"/>
          <w:sz w:val="16"/>
          <w:szCs w:val="16"/>
        </w:rPr>
        <w:t xml:space="preserve"> </w:t>
      </w:r>
      <w:r w:rsidRPr="00C95EB5">
        <w:rPr>
          <w:rFonts w:cs="AppleSystemUIFont"/>
          <w:color w:val="595959" w:themeColor="text1" w:themeTint="A6"/>
          <w:sz w:val="16"/>
          <w:szCs w:val="16"/>
        </w:rPr>
        <w:t>Australian National Audit O</w:t>
      </w:r>
      <w:r w:rsidRPr="00C95EB5">
        <w:rPr>
          <w:rFonts w:cs="Lucida Grande"/>
          <w:color w:val="595959" w:themeColor="text1" w:themeTint="A6"/>
          <w:sz w:val="16"/>
          <w:szCs w:val="16"/>
        </w:rPr>
        <w:t>ﬃ</w:t>
      </w:r>
      <w:r w:rsidRPr="00C95EB5">
        <w:rPr>
          <w:rFonts w:cs="AppleSystemUIFont"/>
          <w:color w:val="595959" w:themeColor="text1" w:themeTint="A6"/>
          <w:sz w:val="16"/>
          <w:szCs w:val="16"/>
        </w:rPr>
        <w:t xml:space="preserve">ce Better Practice Guide, </w:t>
      </w:r>
      <w:r w:rsidRPr="00C95EB5">
        <w:rPr>
          <w:rFonts w:cs="AppleSystemUIFontItalic"/>
          <w:i/>
          <w:iCs/>
          <w:color w:val="595959" w:themeColor="text1" w:themeTint="A6"/>
          <w:sz w:val="16"/>
          <w:szCs w:val="16"/>
        </w:rPr>
        <w:t>Public Sector Governance</w:t>
      </w:r>
      <w:r w:rsidRPr="00C95EB5">
        <w:rPr>
          <w:rFonts w:cs="AppleSystemUIFont"/>
          <w:color w:val="595959" w:themeColor="text1" w:themeTint="A6"/>
          <w:sz w:val="16"/>
          <w:szCs w:val="16"/>
        </w:rPr>
        <w:t>, Vol. 1 &amp; 2, July 2003</w:t>
      </w:r>
    </w:p>
  </w:footnote>
  <w:footnote w:id="2">
    <w:p w14:paraId="2E0A2A41" w14:textId="77777777" w:rsidR="007B16C2" w:rsidRPr="00C95EB5" w:rsidRDefault="007B16C2" w:rsidP="007B16C2">
      <w:pPr>
        <w:pStyle w:val="FootnoteText"/>
        <w:rPr>
          <w:color w:val="595959" w:themeColor="text1" w:themeTint="A6"/>
          <w:sz w:val="16"/>
          <w:szCs w:val="16"/>
        </w:rPr>
      </w:pPr>
      <w:r w:rsidRPr="00C95EB5">
        <w:rPr>
          <w:rStyle w:val="FootnoteReference"/>
          <w:color w:val="595959" w:themeColor="text1" w:themeTint="A6"/>
        </w:rPr>
        <w:footnoteRef/>
      </w:r>
      <w:r w:rsidRPr="00C95EB5">
        <w:rPr>
          <w:color w:val="595959" w:themeColor="text1" w:themeTint="A6"/>
        </w:rPr>
        <w:t xml:space="preserve"> </w:t>
      </w:r>
      <w:r w:rsidRPr="00C95EB5">
        <w:rPr>
          <w:rFonts w:cs="AppleSystemUIFont"/>
          <w:color w:val="595959" w:themeColor="text1" w:themeTint="A6"/>
          <w:sz w:val="16"/>
          <w:szCs w:val="16"/>
        </w:rPr>
        <w:t>Department of Treasury and Finance, Victorian Government Risk Management Framework (VGRMF), March 2015</w:t>
      </w:r>
    </w:p>
  </w:footnote>
  <w:footnote w:id="3">
    <w:p w14:paraId="5703DCF9" w14:textId="77777777" w:rsidR="007B16C2" w:rsidRPr="00712825" w:rsidRDefault="007B16C2" w:rsidP="007B16C2">
      <w:pPr>
        <w:pStyle w:val="FootnoteText"/>
        <w:rPr>
          <w:sz w:val="16"/>
          <w:szCs w:val="16"/>
        </w:rPr>
      </w:pPr>
      <w:r w:rsidRPr="00C95EB5">
        <w:rPr>
          <w:rStyle w:val="FootnoteReference"/>
          <w:color w:val="595959" w:themeColor="text1" w:themeTint="A6"/>
        </w:rPr>
        <w:footnoteRef/>
      </w:r>
      <w:r w:rsidRPr="00C95EB5">
        <w:rPr>
          <w:color w:val="595959" w:themeColor="text1" w:themeTint="A6"/>
        </w:rPr>
        <w:t xml:space="preserve"> </w:t>
      </w:r>
      <w:r w:rsidRPr="00C95EB5">
        <w:rPr>
          <w:rFonts w:cs="AppleSystemUIFont"/>
          <w:color w:val="595959" w:themeColor="text1" w:themeTint="A6"/>
          <w:sz w:val="16"/>
          <w:szCs w:val="16"/>
        </w:rPr>
        <w:t xml:space="preserve">B. </w:t>
      </w:r>
      <w:proofErr w:type="spellStart"/>
      <w:r w:rsidRPr="00C95EB5">
        <w:rPr>
          <w:rFonts w:cs="AppleSystemUIFont"/>
          <w:color w:val="595959" w:themeColor="text1" w:themeTint="A6"/>
          <w:sz w:val="16"/>
          <w:szCs w:val="16"/>
        </w:rPr>
        <w:t>Uttal</w:t>
      </w:r>
      <w:proofErr w:type="spellEnd"/>
      <w:r w:rsidRPr="00C95EB5">
        <w:rPr>
          <w:rFonts w:cs="AppleSystemUIFont"/>
          <w:color w:val="595959" w:themeColor="text1" w:themeTint="A6"/>
          <w:sz w:val="16"/>
          <w:szCs w:val="16"/>
        </w:rPr>
        <w:t xml:space="preserve">, ‘The corporate culture vultures’, </w:t>
      </w:r>
      <w:r w:rsidRPr="00C95EB5">
        <w:rPr>
          <w:rFonts w:cs="AppleSystemUIFontItalic"/>
          <w:i/>
          <w:iCs/>
          <w:color w:val="595959" w:themeColor="text1" w:themeTint="A6"/>
          <w:sz w:val="16"/>
          <w:szCs w:val="16"/>
        </w:rPr>
        <w:t>Fortune Magazine</w:t>
      </w:r>
      <w:r w:rsidRPr="00C95EB5">
        <w:rPr>
          <w:rFonts w:cs="AppleSystemUIFont"/>
          <w:color w:val="595959" w:themeColor="text1" w:themeTint="A6"/>
          <w:sz w:val="16"/>
          <w:szCs w:val="16"/>
        </w:rPr>
        <w:t>, Vol. 108, No. 8, October 1983</w:t>
      </w:r>
    </w:p>
  </w:footnote>
  <w:footnote w:id="4">
    <w:p w14:paraId="1A29F39E" w14:textId="4B425FDA" w:rsidR="0030127F" w:rsidRPr="00706D7F" w:rsidRDefault="0030127F" w:rsidP="00706D7F">
      <w:r w:rsidRPr="00C95EB5">
        <w:rPr>
          <w:rStyle w:val="FootnoteReference"/>
          <w:color w:val="595959" w:themeColor="text1" w:themeTint="A6"/>
          <w:sz w:val="20"/>
          <w:szCs w:val="20"/>
        </w:rPr>
        <w:footnoteRef/>
      </w:r>
      <w:r w:rsidRPr="00C95EB5">
        <w:rPr>
          <w:color w:val="595959" w:themeColor="text1" w:themeTint="A6"/>
          <w:sz w:val="16"/>
          <w:szCs w:val="16"/>
        </w:rPr>
        <w:t xml:space="preserve"> </w:t>
      </w:r>
      <w:r w:rsidR="00BD3962" w:rsidRPr="00C95EB5">
        <w:rPr>
          <w:rStyle w:val="FootnoteReference"/>
          <w:color w:val="595959" w:themeColor="text1" w:themeTint="A6"/>
          <w:sz w:val="16"/>
          <w:szCs w:val="16"/>
          <w:vertAlign w:val="baseline"/>
        </w:rPr>
        <w:t xml:space="preserve">Report available on the VAGO website - </w:t>
      </w:r>
      <w:hyperlink r:id="rId1" w:history="1">
        <w:r w:rsidR="00BD3962" w:rsidRPr="00C95EB5">
          <w:rPr>
            <w:rStyle w:val="Hyperlink"/>
            <w:sz w:val="16"/>
            <w:szCs w:val="16"/>
          </w:rPr>
          <w:t>https://www.audit.vic.gov.au/report/access-public-sector-information?section=</w:t>
        </w:r>
      </w:hyperlink>
      <w:r w:rsidR="00BD396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DCDEE" w14:textId="4819A214" w:rsidR="00C736EC" w:rsidRPr="00D70A8A" w:rsidRDefault="008536E9" w:rsidP="00C736EC">
    <w:pPr>
      <w:pStyle w:val="Header"/>
      <w:tabs>
        <w:tab w:val="clear" w:pos="4513"/>
        <w:tab w:val="clear" w:pos="9026"/>
        <w:tab w:val="left" w:pos="6946"/>
      </w:tabs>
      <w:spacing w:after="180"/>
      <w:rPr>
        <w:color w:val="7F7F7F"/>
        <w:sz w:val="26"/>
        <w:szCs w:val="26"/>
      </w:rPr>
    </w:pPr>
    <w:r>
      <w:rPr>
        <w:noProof/>
        <w:color w:val="7F7F7F"/>
        <w:sz w:val="28"/>
        <w:szCs w:val="28"/>
        <w:lang w:val="en-AU" w:eastAsia="en-AU"/>
      </w:rPr>
      <w:drawing>
        <wp:anchor distT="0" distB="0" distL="114300" distR="114300" simplePos="0" relativeHeight="251658240" behindDoc="1" locked="0" layoutInCell="1" allowOverlap="1" wp14:anchorId="27D0EB20" wp14:editId="14D8E453">
          <wp:simplePos x="0" y="0"/>
          <wp:positionH relativeFrom="column">
            <wp:posOffset>6350</wp:posOffset>
          </wp:positionH>
          <wp:positionV relativeFrom="paragraph">
            <wp:posOffset>-47625</wp:posOffset>
          </wp:positionV>
          <wp:extent cx="1565910" cy="720090"/>
          <wp:effectExtent l="0" t="0" r="0" b="3810"/>
          <wp:wrapThrough wrapText="bothSides">
            <wp:wrapPolygon edited="0">
              <wp:start x="0" y="0"/>
              <wp:lineTo x="0" y="21143"/>
              <wp:lineTo x="21285" y="21143"/>
              <wp:lineTo x="21285" y="0"/>
              <wp:lineTo x="0" y="0"/>
            </wp:wrapPolygon>
          </wp:wrapThrough>
          <wp:docPr id="6" name="Picture 6"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B53C78" w:rsidRPr="00B37C5F">
      <w:rPr>
        <w:color w:val="7F7F7F"/>
        <w:sz w:val="28"/>
        <w:szCs w:val="28"/>
      </w:rPr>
      <w:tab/>
    </w:r>
    <w:r w:rsidR="00C736EC" w:rsidRPr="00D70A8A">
      <w:rPr>
        <w:color w:val="555559"/>
        <w:sz w:val="26"/>
        <w:szCs w:val="26"/>
      </w:rPr>
      <w:t>INFORMATION FOR</w:t>
    </w:r>
    <w:r w:rsidR="00C736EC" w:rsidRPr="00D70A8A">
      <w:rPr>
        <w:color w:val="7F7F7F"/>
        <w:sz w:val="26"/>
        <w:szCs w:val="26"/>
      </w:rPr>
      <w:br/>
    </w:r>
    <w:r w:rsidR="00C736EC" w:rsidRPr="00D70A8A">
      <w:rPr>
        <w:color w:val="7F7F7F"/>
        <w:sz w:val="26"/>
        <w:szCs w:val="26"/>
      </w:rPr>
      <w:tab/>
    </w:r>
    <w:r w:rsidR="000E6BDD">
      <w:rPr>
        <w:color w:val="430098"/>
        <w:sz w:val="26"/>
        <w:szCs w:val="26"/>
      </w:rPr>
      <w:t>AGENCIES and BODIES</w:t>
    </w:r>
  </w:p>
  <w:p w14:paraId="71721AAB" w14:textId="77777777" w:rsidR="00C736EC" w:rsidRPr="00B37C5F" w:rsidRDefault="00C736EC" w:rsidP="00C736EC">
    <w:pPr>
      <w:pStyle w:val="Header"/>
      <w:tabs>
        <w:tab w:val="clear" w:pos="4513"/>
        <w:tab w:val="left" w:pos="6946"/>
      </w:tabs>
      <w:spacing w:after="60"/>
      <w:rPr>
        <w:color w:val="7F7F7F"/>
        <w:sz w:val="20"/>
        <w:szCs w:val="20"/>
      </w:rPr>
    </w:pPr>
    <w:r w:rsidRPr="00B37C5F">
      <w:rPr>
        <w:color w:val="7F7F7F"/>
        <w:sz w:val="20"/>
        <w:szCs w:val="20"/>
      </w:rPr>
      <w:tab/>
    </w:r>
    <w:r w:rsidRPr="00B37C5F">
      <w:rPr>
        <w:color w:val="7F7F7F"/>
        <w:sz w:val="20"/>
        <w:szCs w:val="20"/>
      </w:rPr>
      <w:tab/>
    </w:r>
    <w:r w:rsidRPr="00064688">
      <w:rPr>
        <w:color w:val="555559"/>
        <w:sz w:val="20"/>
        <w:szCs w:val="20"/>
      </w:rPr>
      <w:t>1300 00 6842 | ovic.</w:t>
    </w:r>
    <w:r>
      <w:rPr>
        <w:color w:val="555559"/>
        <w:sz w:val="20"/>
        <w:szCs w:val="20"/>
      </w:rPr>
      <w:t>vic.gov</w:t>
    </w:r>
    <w:r w:rsidRPr="00064688">
      <w:rPr>
        <w:color w:val="555559"/>
        <w:sz w:val="20"/>
        <w:szCs w:val="20"/>
      </w:rPr>
      <w:t>.au</w:t>
    </w:r>
  </w:p>
  <w:p w14:paraId="41761206" w14:textId="77777777" w:rsidR="00B53C78" w:rsidRPr="00B37C5F" w:rsidRDefault="008536E9" w:rsidP="00C736EC">
    <w:pPr>
      <w:pStyle w:val="Header"/>
      <w:tabs>
        <w:tab w:val="clear" w:pos="4513"/>
        <w:tab w:val="clear" w:pos="9026"/>
        <w:tab w:val="left" w:pos="6946"/>
      </w:tabs>
      <w:spacing w:after="180"/>
      <w:rPr>
        <w:color w:val="7F7F7F"/>
        <w:sz w:val="20"/>
        <w:szCs w:val="20"/>
      </w:rPr>
    </w:pPr>
    <w:r>
      <w:rPr>
        <w:noProof/>
        <w:lang w:val="en-AU" w:eastAsia="en-AU"/>
      </w:rPr>
      <w:drawing>
        <wp:anchor distT="0" distB="0" distL="114300" distR="114300" simplePos="0" relativeHeight="251657216" behindDoc="0" locked="0" layoutInCell="1" allowOverlap="1" wp14:anchorId="5FBBF262" wp14:editId="484E7636">
          <wp:simplePos x="0" y="0"/>
          <wp:positionH relativeFrom="column">
            <wp:posOffset>-20955</wp:posOffset>
          </wp:positionH>
          <wp:positionV relativeFrom="paragraph">
            <wp:posOffset>172085</wp:posOffset>
          </wp:positionV>
          <wp:extent cx="6119495" cy="70485"/>
          <wp:effectExtent l="0" t="0" r="0" b="5715"/>
          <wp:wrapNone/>
          <wp:docPr id="5" name="Picture 5"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0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9E4C6A" w14:textId="263D62A0" w:rsidR="00C736EC" w:rsidRPr="002F0938" w:rsidRDefault="007B16C2" w:rsidP="00C736EC">
    <w:pPr>
      <w:pStyle w:val="DocumentTitle"/>
      <w:spacing w:before="475"/>
      <w:rPr>
        <w:sz w:val="36"/>
        <w:szCs w:val="36"/>
      </w:rPr>
    </w:pPr>
    <w:r>
      <w:rPr>
        <w:sz w:val="36"/>
        <w:szCs w:val="36"/>
      </w:rPr>
      <w:t>Guiding Principles</w:t>
    </w:r>
  </w:p>
  <w:p w14:paraId="78E66F59" w14:textId="283AD95A" w:rsidR="00B53C78" w:rsidRPr="00F87792" w:rsidRDefault="007B16C2" w:rsidP="00C736EC">
    <w:pPr>
      <w:pStyle w:val="Header"/>
      <w:tabs>
        <w:tab w:val="left" w:pos="6946"/>
      </w:tabs>
      <w:spacing w:after="120"/>
      <w:rPr>
        <w:rFonts w:ascii="Arial" w:hAnsi="Arial" w:cs="Arial"/>
        <w:color w:val="555559"/>
        <w:sz w:val="30"/>
        <w:szCs w:val="30"/>
      </w:rPr>
    </w:pPr>
    <w:r>
      <w:rPr>
        <w:rFonts w:ascii="Arial" w:hAnsi="Arial" w:cs="Arial"/>
        <w:color w:val="555559"/>
        <w:sz w:val="30"/>
        <w:szCs w:val="30"/>
      </w:rPr>
      <w:t>Victorian Protective Data Security Framework and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34D76" w14:textId="3E6ED0B7" w:rsidR="002867F0" w:rsidRDefault="002867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6895F" w14:textId="3C49C277" w:rsidR="002867F0" w:rsidRDefault="002867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A3FE1" w14:textId="1C31D2C0" w:rsidR="00C736EC" w:rsidRPr="00D70A8A" w:rsidRDefault="008536E9" w:rsidP="006612A9">
    <w:pPr>
      <w:pStyle w:val="Header"/>
      <w:tabs>
        <w:tab w:val="clear" w:pos="4513"/>
        <w:tab w:val="clear" w:pos="9026"/>
        <w:tab w:val="left" w:pos="6946"/>
      </w:tabs>
      <w:spacing w:after="180"/>
      <w:rPr>
        <w:color w:val="7F7F7F"/>
        <w:sz w:val="26"/>
        <w:szCs w:val="26"/>
      </w:rPr>
    </w:pPr>
    <w:r>
      <w:rPr>
        <w:noProof/>
        <w:color w:val="7F7F7F"/>
        <w:sz w:val="28"/>
        <w:szCs w:val="28"/>
        <w:lang w:val="en-AU" w:eastAsia="en-AU"/>
      </w:rPr>
      <w:drawing>
        <wp:anchor distT="0" distB="0" distL="114300" distR="114300" simplePos="0" relativeHeight="251661312" behindDoc="1" locked="0" layoutInCell="1" allowOverlap="1" wp14:anchorId="76105C4E" wp14:editId="6CB2259A">
          <wp:simplePos x="0" y="0"/>
          <wp:positionH relativeFrom="column">
            <wp:posOffset>6350</wp:posOffset>
          </wp:positionH>
          <wp:positionV relativeFrom="paragraph">
            <wp:posOffset>-104140</wp:posOffset>
          </wp:positionV>
          <wp:extent cx="1649095" cy="758190"/>
          <wp:effectExtent l="0" t="0" r="8255" b="3810"/>
          <wp:wrapThrough wrapText="bothSides">
            <wp:wrapPolygon edited="0">
              <wp:start x="0" y="0"/>
              <wp:lineTo x="0" y="21166"/>
              <wp:lineTo x="21459" y="21166"/>
              <wp:lineTo x="21459" y="0"/>
              <wp:lineTo x="0" y="0"/>
            </wp:wrapPolygon>
          </wp:wrapThrough>
          <wp:docPr id="12" name="Picture 12"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00C736EC" w:rsidRPr="0070388B">
      <w:rPr>
        <w:color w:val="7F7F7F"/>
        <w:sz w:val="28"/>
        <w:szCs w:val="28"/>
      </w:rPr>
      <w:tab/>
    </w:r>
    <w:r w:rsidR="00C736EC" w:rsidRPr="00D70A8A">
      <w:rPr>
        <w:color w:val="555559"/>
        <w:sz w:val="26"/>
        <w:szCs w:val="26"/>
      </w:rPr>
      <w:t>INFORMATION FOR</w:t>
    </w:r>
    <w:r w:rsidR="00C736EC" w:rsidRPr="00D70A8A">
      <w:rPr>
        <w:color w:val="7F7F7F"/>
        <w:sz w:val="26"/>
        <w:szCs w:val="26"/>
      </w:rPr>
      <w:br/>
    </w:r>
    <w:r w:rsidR="00C736EC" w:rsidRPr="00D70A8A">
      <w:rPr>
        <w:color w:val="7F7F7F"/>
        <w:sz w:val="26"/>
        <w:szCs w:val="26"/>
      </w:rPr>
      <w:tab/>
    </w:r>
    <w:r w:rsidR="00C736EC" w:rsidRPr="00D70A8A">
      <w:rPr>
        <w:color w:val="430098"/>
        <w:sz w:val="26"/>
        <w:szCs w:val="26"/>
      </w:rPr>
      <w:t>THE PUBLIC/AGENCIES</w:t>
    </w:r>
  </w:p>
  <w:p w14:paraId="13D145D3" w14:textId="77777777" w:rsidR="00C736EC" w:rsidRPr="00B37C5F" w:rsidRDefault="00C736EC" w:rsidP="006612A9">
    <w:pPr>
      <w:pStyle w:val="Header"/>
      <w:tabs>
        <w:tab w:val="clear" w:pos="4513"/>
        <w:tab w:val="left" w:pos="6946"/>
      </w:tabs>
      <w:spacing w:after="60"/>
      <w:rPr>
        <w:color w:val="7F7F7F"/>
        <w:sz w:val="20"/>
        <w:szCs w:val="20"/>
      </w:rPr>
    </w:pPr>
    <w:r w:rsidRPr="00B37C5F">
      <w:rPr>
        <w:color w:val="7F7F7F"/>
        <w:sz w:val="20"/>
        <w:szCs w:val="20"/>
      </w:rPr>
      <w:tab/>
    </w:r>
    <w:r w:rsidRPr="00B37C5F">
      <w:rPr>
        <w:color w:val="7F7F7F"/>
        <w:sz w:val="20"/>
        <w:szCs w:val="20"/>
      </w:rPr>
      <w:tab/>
    </w:r>
    <w:r w:rsidRPr="00064688">
      <w:rPr>
        <w:color w:val="555559"/>
        <w:sz w:val="20"/>
        <w:szCs w:val="20"/>
      </w:rPr>
      <w:t>1300 00 6842 | ovic.</w:t>
    </w:r>
    <w:r>
      <w:rPr>
        <w:color w:val="555559"/>
        <w:sz w:val="20"/>
        <w:szCs w:val="20"/>
      </w:rPr>
      <w:t>vic.gov</w:t>
    </w:r>
    <w:r w:rsidRPr="00064688">
      <w:rPr>
        <w:color w:val="555559"/>
        <w:sz w:val="20"/>
        <w:szCs w:val="20"/>
      </w:rPr>
      <w:t>.au</w:t>
    </w:r>
  </w:p>
  <w:p w14:paraId="5E707423" w14:textId="77777777" w:rsidR="00C736EC" w:rsidRPr="0070388B" w:rsidRDefault="008536E9" w:rsidP="006612A9">
    <w:pPr>
      <w:pStyle w:val="Header"/>
      <w:tabs>
        <w:tab w:val="clear" w:pos="4513"/>
        <w:tab w:val="clear" w:pos="9026"/>
        <w:tab w:val="left" w:pos="6946"/>
      </w:tabs>
      <w:spacing w:before="120"/>
      <w:rPr>
        <w:color w:val="7F7F7F"/>
        <w:sz w:val="20"/>
        <w:szCs w:val="20"/>
      </w:rPr>
    </w:pPr>
    <w:r>
      <w:rPr>
        <w:noProof/>
        <w:color w:val="7F7F7F"/>
        <w:sz w:val="20"/>
        <w:szCs w:val="20"/>
        <w:lang w:val="en-AU" w:eastAsia="en-AU"/>
      </w:rPr>
      <w:drawing>
        <wp:anchor distT="0" distB="0" distL="114300" distR="114300" simplePos="0" relativeHeight="251660288" behindDoc="0" locked="0" layoutInCell="1" allowOverlap="1" wp14:anchorId="09597C29" wp14:editId="48FCE412">
          <wp:simplePos x="0" y="0"/>
          <wp:positionH relativeFrom="column">
            <wp:posOffset>-20955</wp:posOffset>
          </wp:positionH>
          <wp:positionV relativeFrom="paragraph">
            <wp:posOffset>172085</wp:posOffset>
          </wp:positionV>
          <wp:extent cx="6119495" cy="70485"/>
          <wp:effectExtent l="0" t="0" r="0" b="5715"/>
          <wp:wrapThrough wrapText="bothSides">
            <wp:wrapPolygon edited="0">
              <wp:start x="0" y="0"/>
              <wp:lineTo x="0" y="17514"/>
              <wp:lineTo x="21517" y="17514"/>
              <wp:lineTo x="21517" y="0"/>
              <wp:lineTo x="0" y="0"/>
            </wp:wrapPolygon>
          </wp:wrapThrough>
          <wp:docPr id="11" name="Picture 11"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0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243D4E" w14:textId="77777777" w:rsidR="00C736EC" w:rsidRPr="002F0938" w:rsidRDefault="00C736EC" w:rsidP="006612A9">
    <w:pPr>
      <w:pStyle w:val="DocumentTitle"/>
      <w:spacing w:before="475"/>
      <w:rPr>
        <w:sz w:val="36"/>
        <w:szCs w:val="36"/>
      </w:rPr>
    </w:pPr>
    <w:r w:rsidRPr="002F0938">
      <w:rPr>
        <w:sz w:val="36"/>
        <w:szCs w:val="36"/>
      </w:rPr>
      <w:t>Document Title</w:t>
    </w:r>
  </w:p>
  <w:p w14:paraId="5850A3F7" w14:textId="77777777" w:rsidR="00C736EC" w:rsidRPr="002F0938" w:rsidRDefault="00C736EC" w:rsidP="006612A9">
    <w:pPr>
      <w:pStyle w:val="Header"/>
      <w:tabs>
        <w:tab w:val="left" w:pos="6946"/>
      </w:tabs>
      <w:spacing w:after="120"/>
      <w:rPr>
        <w:rFonts w:ascii="Arial" w:hAnsi="Arial" w:cs="Arial"/>
        <w:color w:val="555559"/>
        <w:sz w:val="30"/>
        <w:szCs w:val="30"/>
      </w:rPr>
    </w:pPr>
    <w:r w:rsidRPr="002F0938">
      <w:rPr>
        <w:rFonts w:ascii="Arial" w:hAnsi="Arial" w:cs="Arial"/>
        <w:color w:val="555559"/>
        <w:sz w:val="30"/>
        <w:szCs w:val="30"/>
      </w:rPr>
      <w:t>Document Subtitle</w:t>
    </w:r>
  </w:p>
  <w:p w14:paraId="28AF1146" w14:textId="77777777" w:rsidR="00C736EC" w:rsidRDefault="00C736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E550B" w14:textId="0952C03C" w:rsidR="002867F0" w:rsidRDefault="002867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398AA" w14:textId="46A57578" w:rsidR="002867F0" w:rsidRDefault="002867F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5D3A9" w14:textId="74B61BBB" w:rsidR="00BD07DC" w:rsidRPr="00B37C5F" w:rsidRDefault="00BD07DC" w:rsidP="00BD07DC">
    <w:pPr>
      <w:pStyle w:val="Header"/>
      <w:tabs>
        <w:tab w:val="clear" w:pos="4513"/>
        <w:tab w:val="clear" w:pos="9026"/>
        <w:tab w:val="left" w:pos="6946"/>
      </w:tabs>
      <w:spacing w:after="180"/>
      <w:rPr>
        <w:color w:val="7F7F7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53E0"/>
    <w:multiLevelType w:val="hybridMultilevel"/>
    <w:tmpl w:val="0344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A56D7"/>
    <w:multiLevelType w:val="multilevel"/>
    <w:tmpl w:val="B3729A46"/>
    <w:numStyleLink w:val="111111"/>
  </w:abstractNum>
  <w:abstractNum w:abstractNumId="2" w15:restartNumberingAfterBreak="0">
    <w:nsid w:val="10DC0C01"/>
    <w:multiLevelType w:val="hybridMultilevel"/>
    <w:tmpl w:val="8D463B6C"/>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 w15:restartNumberingAfterBreak="0">
    <w:nsid w:val="12C07EE1"/>
    <w:multiLevelType w:val="hybridMultilevel"/>
    <w:tmpl w:val="1CEC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02E7D"/>
    <w:multiLevelType w:val="hybridMultilevel"/>
    <w:tmpl w:val="4868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25B1C"/>
    <w:multiLevelType w:val="hybridMultilevel"/>
    <w:tmpl w:val="3424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27B59"/>
    <w:multiLevelType w:val="hybridMultilevel"/>
    <w:tmpl w:val="F296154E"/>
    <w:lvl w:ilvl="0" w:tplc="66A40ECC">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925376"/>
    <w:multiLevelType w:val="multilevel"/>
    <w:tmpl w:val="B3729A46"/>
    <w:styleLink w:val="111111"/>
    <w:lvl w:ilvl="0">
      <w:start w:val="1"/>
      <w:numFmt w:val="decimal"/>
      <w:pStyle w:val="SectionHeading"/>
      <w:suff w:val="space"/>
      <w:lvlText w:val="%1."/>
      <w:lvlJc w:val="left"/>
      <w:pPr>
        <w:ind w:left="360" w:hanging="360"/>
      </w:pPr>
      <w:rPr>
        <w:rFonts w:hint="default"/>
      </w:rPr>
    </w:lvl>
    <w:lvl w:ilvl="1">
      <w:start w:val="1"/>
      <w:numFmt w:val="decimal"/>
      <w:pStyle w:val="SectionSubhead"/>
      <w:suff w:val="space"/>
      <w:lvlText w:val="%1.%2."/>
      <w:lvlJc w:val="left"/>
      <w:pPr>
        <w:ind w:left="357" w:firstLine="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F214F8"/>
    <w:multiLevelType w:val="hybridMultilevel"/>
    <w:tmpl w:val="0D54B64A"/>
    <w:lvl w:ilvl="0" w:tplc="00000001">
      <w:start w:val="1"/>
      <w:numFmt w:val="bullet"/>
      <w:lvlText w:val="•"/>
      <w:lvlJc w:val="left"/>
      <w:pPr>
        <w:ind w:left="720" w:hanging="360"/>
      </w:pPr>
    </w:lvl>
    <w:lvl w:ilvl="1" w:tplc="C3448E6E">
      <w:start w:val="1"/>
      <w:numFmt w:val="decimal"/>
      <w:lvlText w:val="%2."/>
      <w:lvlJc w:val="left"/>
      <w:pPr>
        <w:ind w:left="360" w:hanging="360"/>
      </w:pPr>
      <w:rPr>
        <w:b/>
        <w:bCs/>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6004D3F"/>
    <w:multiLevelType w:val="hybridMultilevel"/>
    <w:tmpl w:val="59E28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A04FE0"/>
    <w:multiLevelType w:val="hybridMultilevel"/>
    <w:tmpl w:val="01A8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620A7"/>
    <w:multiLevelType w:val="hybridMultilevel"/>
    <w:tmpl w:val="BEE4A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99252C"/>
    <w:multiLevelType w:val="hybridMultilevel"/>
    <w:tmpl w:val="6F72C12C"/>
    <w:lvl w:ilvl="0" w:tplc="447252F0">
      <w:start w:val="1"/>
      <w:numFmt w:val="bullet"/>
      <w:pStyle w:val="Colou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856D6D"/>
    <w:multiLevelType w:val="hybridMultilevel"/>
    <w:tmpl w:val="9056BF6A"/>
    <w:lvl w:ilvl="0" w:tplc="66A40EC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994303"/>
    <w:multiLevelType w:val="hybridMultilevel"/>
    <w:tmpl w:val="FDE4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291A4A"/>
    <w:multiLevelType w:val="hybridMultilevel"/>
    <w:tmpl w:val="61DA6D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046E3B"/>
    <w:multiLevelType w:val="hybridMultilevel"/>
    <w:tmpl w:val="DE74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B85574"/>
    <w:multiLevelType w:val="hybridMultilevel"/>
    <w:tmpl w:val="FE7A4CD6"/>
    <w:lvl w:ilvl="0" w:tplc="66A40ECC">
      <w:numFmt w:val="bullet"/>
      <w:lvlText w:val=""/>
      <w:lvlJc w:val="left"/>
      <w:pPr>
        <w:ind w:left="360" w:hanging="360"/>
      </w:pPr>
      <w:rPr>
        <w:rFonts w:ascii="Symbol" w:eastAsia="Calibri"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66E65E0"/>
    <w:multiLevelType w:val="hybridMultilevel"/>
    <w:tmpl w:val="3DAE9A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9CE2C5F"/>
    <w:multiLevelType w:val="hybridMultilevel"/>
    <w:tmpl w:val="E684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6"/>
  </w:num>
  <w:num w:numId="4">
    <w:abstractNumId w:val="18"/>
  </w:num>
  <w:num w:numId="5">
    <w:abstractNumId w:val="14"/>
  </w:num>
  <w:num w:numId="6">
    <w:abstractNumId w:val="15"/>
  </w:num>
  <w:num w:numId="7">
    <w:abstractNumId w:val="2"/>
  </w:num>
  <w:num w:numId="8">
    <w:abstractNumId w:val="7"/>
  </w:num>
  <w:num w:numId="9">
    <w:abstractNumId w:val="1"/>
  </w:num>
  <w:num w:numId="10">
    <w:abstractNumId w:val="3"/>
  </w:num>
  <w:num w:numId="11">
    <w:abstractNumId w:val="5"/>
  </w:num>
  <w:num w:numId="12">
    <w:abstractNumId w:val="20"/>
  </w:num>
  <w:num w:numId="13">
    <w:abstractNumId w:val="9"/>
  </w:num>
  <w:num w:numId="14">
    <w:abstractNumId w:val="4"/>
  </w:num>
  <w:num w:numId="15">
    <w:abstractNumId w:val="17"/>
  </w:num>
  <w:num w:numId="16">
    <w:abstractNumId w:val="0"/>
  </w:num>
  <w:num w:numId="17">
    <w:abstractNumId w:val="1"/>
    <w:lvlOverride w:ilvl="0">
      <w:lvl w:ilvl="0">
        <w:start w:val="1"/>
        <w:numFmt w:val="decimal"/>
        <w:pStyle w:val="SectionHeading"/>
        <w:suff w:val="space"/>
        <w:lvlText w:val="%1."/>
        <w:lvlJc w:val="left"/>
        <w:pPr>
          <w:ind w:left="360" w:hanging="360"/>
        </w:pPr>
        <w:rPr>
          <w:rFonts w:hint="default"/>
        </w:rPr>
      </w:lvl>
    </w:lvlOverride>
    <w:lvlOverride w:ilvl="1">
      <w:lvl w:ilvl="1">
        <w:start w:val="1"/>
        <w:numFmt w:val="decimal"/>
        <w:pStyle w:val="SectionSubhead"/>
        <w:suff w:val="space"/>
        <w:lvlText w:val="%1.%2."/>
        <w:lvlJc w:val="left"/>
        <w:pPr>
          <w:ind w:left="357" w:firstLine="3"/>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8"/>
  </w:num>
  <w:num w:numId="19">
    <w:abstractNumId w:val="10"/>
  </w:num>
  <w:num w:numId="20">
    <w:abstractNumId w:val="16"/>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93"/>
    <w:rsid w:val="00064688"/>
    <w:rsid w:val="000677DA"/>
    <w:rsid w:val="00077961"/>
    <w:rsid w:val="00091CB4"/>
    <w:rsid w:val="00097FEE"/>
    <w:rsid w:val="000E6BDD"/>
    <w:rsid w:val="000E7FAE"/>
    <w:rsid w:val="000F3A12"/>
    <w:rsid w:val="000F52EA"/>
    <w:rsid w:val="001159CB"/>
    <w:rsid w:val="00164A42"/>
    <w:rsid w:val="00176B1A"/>
    <w:rsid w:val="0022333C"/>
    <w:rsid w:val="0023641B"/>
    <w:rsid w:val="0025217E"/>
    <w:rsid w:val="002867F0"/>
    <w:rsid w:val="002A36A6"/>
    <w:rsid w:val="002A48A0"/>
    <w:rsid w:val="002F5093"/>
    <w:rsid w:val="0030127F"/>
    <w:rsid w:val="00305D40"/>
    <w:rsid w:val="00322784"/>
    <w:rsid w:val="0036085D"/>
    <w:rsid w:val="00365A31"/>
    <w:rsid w:val="00370F3D"/>
    <w:rsid w:val="00372C3E"/>
    <w:rsid w:val="00376609"/>
    <w:rsid w:val="003A7085"/>
    <w:rsid w:val="003B648E"/>
    <w:rsid w:val="003F5DA4"/>
    <w:rsid w:val="003F7D9E"/>
    <w:rsid w:val="0041597C"/>
    <w:rsid w:val="00436652"/>
    <w:rsid w:val="004534C9"/>
    <w:rsid w:val="004716B4"/>
    <w:rsid w:val="00487097"/>
    <w:rsid w:val="00555602"/>
    <w:rsid w:val="005870C5"/>
    <w:rsid w:val="005A7D4B"/>
    <w:rsid w:val="0061581B"/>
    <w:rsid w:val="006205EA"/>
    <w:rsid w:val="00620D36"/>
    <w:rsid w:val="00635E9F"/>
    <w:rsid w:val="006612A9"/>
    <w:rsid w:val="006713D1"/>
    <w:rsid w:val="006A73CB"/>
    <w:rsid w:val="006B1C0F"/>
    <w:rsid w:val="006D60FD"/>
    <w:rsid w:val="006F16AE"/>
    <w:rsid w:val="00706D7F"/>
    <w:rsid w:val="00723ACA"/>
    <w:rsid w:val="00760DDC"/>
    <w:rsid w:val="00765158"/>
    <w:rsid w:val="0078024B"/>
    <w:rsid w:val="00790F28"/>
    <w:rsid w:val="007A3757"/>
    <w:rsid w:val="007A6964"/>
    <w:rsid w:val="007B16C2"/>
    <w:rsid w:val="007B268F"/>
    <w:rsid w:val="007C4B36"/>
    <w:rsid w:val="00801FE8"/>
    <w:rsid w:val="00812D7B"/>
    <w:rsid w:val="008536E9"/>
    <w:rsid w:val="00863040"/>
    <w:rsid w:val="0086734F"/>
    <w:rsid w:val="00870FF3"/>
    <w:rsid w:val="008B4992"/>
    <w:rsid w:val="008B7923"/>
    <w:rsid w:val="008F106C"/>
    <w:rsid w:val="009236D4"/>
    <w:rsid w:val="00940F43"/>
    <w:rsid w:val="009445F4"/>
    <w:rsid w:val="00986AF0"/>
    <w:rsid w:val="009B32E9"/>
    <w:rsid w:val="009C24DB"/>
    <w:rsid w:val="009C5614"/>
    <w:rsid w:val="009F4967"/>
    <w:rsid w:val="00A14089"/>
    <w:rsid w:val="00A33D6F"/>
    <w:rsid w:val="00AA3540"/>
    <w:rsid w:val="00AC1C6A"/>
    <w:rsid w:val="00AC42E9"/>
    <w:rsid w:val="00AE13A1"/>
    <w:rsid w:val="00AE17AE"/>
    <w:rsid w:val="00B177DA"/>
    <w:rsid w:val="00B369FA"/>
    <w:rsid w:val="00B37C5F"/>
    <w:rsid w:val="00B508BF"/>
    <w:rsid w:val="00B53C78"/>
    <w:rsid w:val="00BD07DC"/>
    <w:rsid w:val="00BD3962"/>
    <w:rsid w:val="00BD7D42"/>
    <w:rsid w:val="00C573CD"/>
    <w:rsid w:val="00C70965"/>
    <w:rsid w:val="00C736EC"/>
    <w:rsid w:val="00C95EB5"/>
    <w:rsid w:val="00CE7458"/>
    <w:rsid w:val="00D16793"/>
    <w:rsid w:val="00D267EC"/>
    <w:rsid w:val="00D32D00"/>
    <w:rsid w:val="00D34079"/>
    <w:rsid w:val="00D41EFF"/>
    <w:rsid w:val="00D723C1"/>
    <w:rsid w:val="00DA234D"/>
    <w:rsid w:val="00DB13A1"/>
    <w:rsid w:val="00DB55DB"/>
    <w:rsid w:val="00E45B00"/>
    <w:rsid w:val="00E61AAE"/>
    <w:rsid w:val="00E91DBD"/>
    <w:rsid w:val="00ED7EF6"/>
    <w:rsid w:val="00EF06C1"/>
    <w:rsid w:val="00EF65B2"/>
    <w:rsid w:val="00F36C34"/>
    <w:rsid w:val="00F4301B"/>
    <w:rsid w:val="00F509DE"/>
    <w:rsid w:val="00F87792"/>
    <w:rsid w:val="00FD7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1D64DA"/>
  <w14:defaultImageDpi w14:val="32767"/>
  <w15:docId w15:val="{733A0017-4117-BF45-B04B-3EC5CB61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A1408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1408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8B7923"/>
    <w:pPr>
      <w:suppressAutoHyphens/>
      <w:spacing w:after="240" w:line="240" w:lineRule="auto"/>
    </w:pPr>
    <w:rPr>
      <w:rFonts w:ascii="Calibri" w:hAnsi="Calibri" w:cs="PostGrotesk-Book"/>
      <w:color w:val="55565A"/>
      <w:sz w:val="22"/>
      <w:szCs w:val="22"/>
    </w:rPr>
  </w:style>
  <w:style w:type="paragraph" w:customStyle="1" w:styleId="SectionHeading1">
    <w:name w:val="Section Heading 1"/>
    <w:basedOn w:val="BasicParagraph"/>
    <w:qFormat/>
    <w:rsid w:val="008B7923"/>
    <w:pPr>
      <w:suppressAutoHyphens/>
      <w:spacing w:after="120"/>
    </w:pPr>
    <w:rPr>
      <w:rFonts w:ascii="Calibri" w:hAnsi="Calibri" w:cs="PostGrotesk-Medium"/>
      <w:color w:val="430098"/>
      <w:sz w:val="28"/>
      <w:szCs w:val="28"/>
    </w:rPr>
  </w:style>
  <w:style w:type="paragraph" w:customStyle="1" w:styleId="SectionHeading2">
    <w:name w:val="Section Heading 2"/>
    <w:basedOn w:val="BasicParagraph"/>
    <w:qFormat/>
    <w:rsid w:val="00372C3E"/>
    <w:pPr>
      <w:suppressAutoHyphens/>
      <w:spacing w:after="120"/>
    </w:pPr>
    <w:rPr>
      <w:rFonts w:ascii="Calibri" w:hAnsi="Calibri" w:cs="PostGrotesk-Medium"/>
      <w:b/>
      <w:color w:val="55565A"/>
    </w:rPr>
  </w:style>
  <w:style w:type="paragraph" w:customStyle="1" w:styleId="ColourfulListAccent11">
    <w:name w:val="Colourful List – Accent 11"/>
    <w:basedOn w:val="Body"/>
    <w:uiPriority w:val="34"/>
    <w:qFormat/>
    <w:rsid w:val="00064688"/>
    <w:pPr>
      <w:numPr>
        <w:numId w:val="2"/>
      </w:numPr>
      <w:spacing w:after="0"/>
      <w:ind w:left="284" w:hanging="284"/>
    </w:pPr>
  </w:style>
  <w:style w:type="paragraph" w:customStyle="1" w:styleId="Introduction">
    <w:name w:val="Introduction"/>
    <w:qFormat/>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qFormat/>
    <w:rsid w:val="008B7923"/>
    <w:pPr>
      <w:suppressAutoHyphens/>
    </w:pPr>
    <w:rPr>
      <w:rFonts w:ascii="Calibri" w:hAnsi="Calibri" w:cs="PostGrotesk-Medium"/>
      <w:color w:val="55565A"/>
      <w:sz w:val="22"/>
      <w:szCs w:val="22"/>
    </w:rPr>
  </w:style>
  <w:style w:type="paragraph" w:customStyle="1" w:styleId="Disclaimer">
    <w:name w:val="Disclaimer"/>
    <w:basedOn w:val="Normal"/>
    <w:qFormat/>
    <w:rsid w:val="00064688"/>
    <w:pPr>
      <w:ind w:right="-7"/>
    </w:pPr>
    <w:rPr>
      <w:rFonts w:cs="PostGrotesk-Book"/>
      <w:color w:val="555559"/>
      <w:sz w:val="18"/>
      <w:szCs w:val="18"/>
    </w:rPr>
  </w:style>
  <w:style w:type="paragraph" w:customStyle="1" w:styleId="IntroductoryText">
    <w:name w:val="Introductory Text"/>
    <w:qFormat/>
    <w:rsid w:val="00863040"/>
    <w:pPr>
      <w:suppressAutoHyphens/>
      <w:spacing w:after="360"/>
      <w:ind w:right="1835"/>
    </w:pPr>
    <w:rPr>
      <w:rFonts w:cs="PostGrotesk-Book"/>
      <w:color w:val="555559"/>
      <w:sz w:val="28"/>
      <w:szCs w:val="28"/>
      <w:lang w:val="en-GB" w:eastAsia="en-US"/>
    </w:rPr>
  </w:style>
  <w:style w:type="paragraph" w:customStyle="1" w:styleId="DocumentTitle">
    <w:name w:val="Document Title"/>
    <w:basedOn w:val="Header"/>
    <w:qFormat/>
    <w:rsid w:val="00863040"/>
    <w:pPr>
      <w:tabs>
        <w:tab w:val="clear" w:pos="9026"/>
        <w:tab w:val="left" w:pos="6946"/>
      </w:tabs>
      <w:spacing w:before="840" w:after="120"/>
    </w:pPr>
    <w:rPr>
      <w:rFonts w:ascii="Arial" w:hAnsi="Arial" w:cs="Arial"/>
      <w:b/>
      <w:color w:val="430098"/>
      <w:sz w:val="40"/>
      <w:szCs w:val="40"/>
    </w:rPr>
  </w:style>
  <w:style w:type="paragraph" w:customStyle="1" w:styleId="DocumentSubtitle">
    <w:name w:val="Document Subtitle"/>
    <w:basedOn w:val="Header"/>
    <w:qFormat/>
    <w:rsid w:val="00863040"/>
    <w:pPr>
      <w:tabs>
        <w:tab w:val="left" w:pos="6946"/>
      </w:tabs>
      <w:spacing w:after="240"/>
    </w:pPr>
    <w:rPr>
      <w:rFonts w:ascii="Arial" w:hAnsi="Arial" w:cs="Arial"/>
      <w:color w:val="555559"/>
      <w:sz w:val="32"/>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qFormat/>
    <w:rsid w:val="008B7923"/>
    <w:rPr>
      <w:rFonts w:cs="PostGrotesk-Book"/>
      <w:b/>
      <w:bCs/>
      <w:color w:val="55565A"/>
      <w:sz w:val="22"/>
      <w:szCs w:val="22"/>
      <w:lang w:val="en-GB" w:eastAsia="en-US"/>
    </w:rPr>
  </w:style>
  <w:style w:type="paragraph" w:customStyle="1" w:styleId="TableBody">
    <w:name w:val="Table Body"/>
    <w:qFormat/>
    <w:rsid w:val="008B7923"/>
    <w:rPr>
      <w:bCs/>
      <w:color w:val="55565A"/>
      <w:sz w:val="22"/>
      <w:szCs w:val="22"/>
      <w:lang w:val="en-GB" w:eastAsia="en-US"/>
    </w:rPr>
  </w:style>
  <w:style w:type="paragraph" w:customStyle="1" w:styleId="FurtherInfo">
    <w:name w:val="Further Info"/>
    <w:qFormat/>
    <w:rsid w:val="00372C3E"/>
    <w:pPr>
      <w:pBdr>
        <w:top w:val="single" w:sz="4" w:space="6" w:color="430098"/>
      </w:pBdr>
      <w:spacing w:before="480" w:after="200"/>
    </w:pPr>
    <w:rPr>
      <w:rFonts w:cs="PostGrotesk-Medium"/>
      <w:color w:val="430098"/>
      <w:sz w:val="28"/>
      <w:szCs w:val="28"/>
      <w:lang w:val="en-GB" w:eastAsia="en-US"/>
    </w:rPr>
  </w:style>
  <w:style w:type="paragraph" w:styleId="ListParagraph">
    <w:name w:val="List Paragraph"/>
    <w:basedOn w:val="Normal"/>
    <w:uiPriority w:val="34"/>
    <w:qFormat/>
    <w:rsid w:val="000677DA"/>
    <w:pPr>
      <w:spacing w:after="200" w:line="276" w:lineRule="auto"/>
      <w:ind w:left="720"/>
      <w:contextualSpacing/>
    </w:pPr>
    <w:rPr>
      <w:sz w:val="22"/>
      <w:szCs w:val="22"/>
      <w:lang w:val="en-AU"/>
    </w:rPr>
  </w:style>
  <w:style w:type="table" w:styleId="TableGrid">
    <w:name w:val="Table Grid"/>
    <w:basedOn w:val="TableNormal"/>
    <w:uiPriority w:val="39"/>
    <w:unhideWhenUsed/>
    <w:rsid w:val="00D16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D1679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Hyperlink">
    <w:name w:val="Hyperlink"/>
    <w:uiPriority w:val="99"/>
    <w:rsid w:val="0061581B"/>
    <w:rPr>
      <w:color w:val="430098"/>
      <w:w w:val="100"/>
      <w:u w:val="single" w:color="430098"/>
    </w:rPr>
  </w:style>
  <w:style w:type="paragraph" w:styleId="FootnoteText">
    <w:name w:val="footnote text"/>
    <w:basedOn w:val="Normal"/>
    <w:link w:val="FootnoteTextChar"/>
    <w:uiPriority w:val="99"/>
    <w:semiHidden/>
    <w:unhideWhenUsed/>
    <w:rsid w:val="0061581B"/>
    <w:rPr>
      <w:rFonts w:asciiTheme="minorHAnsi" w:eastAsia="Times New Roman" w:hAnsiTheme="minorHAnsi"/>
      <w:sz w:val="20"/>
      <w:szCs w:val="20"/>
      <w:lang w:val="en-AU"/>
    </w:rPr>
  </w:style>
  <w:style w:type="character" w:customStyle="1" w:styleId="FootnoteTextChar">
    <w:name w:val="Footnote Text Char"/>
    <w:basedOn w:val="DefaultParagraphFont"/>
    <w:link w:val="FootnoteText"/>
    <w:uiPriority w:val="99"/>
    <w:semiHidden/>
    <w:rsid w:val="0061581B"/>
    <w:rPr>
      <w:rFonts w:asciiTheme="minorHAnsi" w:eastAsia="Times New Roman" w:hAnsiTheme="minorHAnsi"/>
      <w:lang w:eastAsia="en-US"/>
    </w:rPr>
  </w:style>
  <w:style w:type="character" w:styleId="FootnoteReference">
    <w:name w:val="footnote reference"/>
    <w:basedOn w:val="DefaultParagraphFont"/>
    <w:uiPriority w:val="99"/>
    <w:unhideWhenUsed/>
    <w:rsid w:val="0061581B"/>
    <w:rPr>
      <w:vertAlign w:val="superscript"/>
    </w:rPr>
  </w:style>
  <w:style w:type="paragraph" w:styleId="BalloonText">
    <w:name w:val="Balloon Text"/>
    <w:basedOn w:val="Normal"/>
    <w:link w:val="BalloonTextChar"/>
    <w:uiPriority w:val="99"/>
    <w:semiHidden/>
    <w:unhideWhenUsed/>
    <w:rsid w:val="00A1408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14089"/>
    <w:rPr>
      <w:rFonts w:ascii="Times New Roman" w:hAnsi="Times New Roman"/>
      <w:sz w:val="18"/>
      <w:szCs w:val="18"/>
      <w:lang w:val="en-GB" w:eastAsia="en-US"/>
    </w:rPr>
  </w:style>
  <w:style w:type="character" w:styleId="CommentReference">
    <w:name w:val="annotation reference"/>
    <w:uiPriority w:val="99"/>
    <w:rsid w:val="00A14089"/>
    <w:rPr>
      <w:w w:val="100"/>
      <w:sz w:val="16"/>
      <w:szCs w:val="16"/>
    </w:rPr>
  </w:style>
  <w:style w:type="numbering" w:styleId="111111">
    <w:name w:val="Outline List 2"/>
    <w:basedOn w:val="NoList"/>
    <w:uiPriority w:val="99"/>
    <w:semiHidden/>
    <w:unhideWhenUsed/>
    <w:rsid w:val="00A14089"/>
    <w:pPr>
      <w:numPr>
        <w:numId w:val="8"/>
      </w:numPr>
    </w:pPr>
  </w:style>
  <w:style w:type="paragraph" w:customStyle="1" w:styleId="SectionHeading">
    <w:name w:val="Section Heading"/>
    <w:basedOn w:val="Heading1"/>
    <w:qFormat/>
    <w:rsid w:val="00A14089"/>
    <w:pPr>
      <w:keepNext w:val="0"/>
      <w:keepLines w:val="0"/>
      <w:numPr>
        <w:numId w:val="9"/>
      </w:numPr>
      <w:spacing w:before="120" w:after="160" w:line="264" w:lineRule="auto"/>
      <w:ind w:left="720"/>
    </w:pPr>
    <w:rPr>
      <w:rFonts w:ascii="Calibri" w:eastAsia="Times New Roman" w:hAnsi="Calibri" w:cs="Times New Roman"/>
      <w:b/>
      <w:color w:val="5620A9"/>
      <w:sz w:val="22"/>
    </w:rPr>
  </w:style>
  <w:style w:type="paragraph" w:customStyle="1" w:styleId="SectionSubhead">
    <w:name w:val="Section Subhead"/>
    <w:basedOn w:val="Heading2"/>
    <w:qFormat/>
    <w:rsid w:val="00A14089"/>
    <w:pPr>
      <w:keepNext w:val="0"/>
      <w:keepLines w:val="0"/>
      <w:numPr>
        <w:ilvl w:val="1"/>
        <w:numId w:val="9"/>
      </w:numPr>
      <w:spacing w:before="120" w:after="160" w:line="264" w:lineRule="auto"/>
      <w:ind w:left="1440" w:hanging="360"/>
    </w:pPr>
    <w:rPr>
      <w:rFonts w:ascii="Calibri" w:eastAsia="Times New Roman" w:hAnsi="Calibri" w:cs="Times New Roman"/>
      <w:b/>
      <w:color w:val="55565A"/>
      <w:sz w:val="22"/>
    </w:rPr>
  </w:style>
  <w:style w:type="paragraph" w:styleId="CommentText">
    <w:name w:val="annotation text"/>
    <w:basedOn w:val="Normal"/>
    <w:link w:val="CommentTextChar"/>
    <w:uiPriority w:val="99"/>
    <w:unhideWhenUsed/>
    <w:rsid w:val="00A14089"/>
    <w:pPr>
      <w:widowControl w:val="0"/>
      <w:autoSpaceDE w:val="0"/>
      <w:autoSpaceDN w:val="0"/>
    </w:pPr>
    <w:rPr>
      <w:rFonts w:ascii="Museo Sans" w:eastAsia="Museo Sans" w:hAnsi="Museo Sans" w:cs="Museo Sans"/>
      <w:sz w:val="20"/>
      <w:szCs w:val="20"/>
      <w:lang w:val="en-US" w:bidi="en-US"/>
    </w:rPr>
  </w:style>
  <w:style w:type="character" w:customStyle="1" w:styleId="CommentTextChar">
    <w:name w:val="Comment Text Char"/>
    <w:basedOn w:val="DefaultParagraphFont"/>
    <w:link w:val="CommentText"/>
    <w:uiPriority w:val="99"/>
    <w:rsid w:val="00A14089"/>
    <w:rPr>
      <w:rFonts w:ascii="Museo Sans" w:eastAsia="Museo Sans" w:hAnsi="Museo Sans" w:cs="Museo Sans"/>
      <w:lang w:val="en-US" w:eastAsia="en-US" w:bidi="en-US"/>
    </w:rPr>
  </w:style>
  <w:style w:type="paragraph" w:customStyle="1" w:styleId="TableParagraph">
    <w:name w:val="Table Paragraph"/>
    <w:basedOn w:val="Normal"/>
    <w:uiPriority w:val="1"/>
    <w:qFormat/>
    <w:rsid w:val="00A14089"/>
    <w:pPr>
      <w:widowControl w:val="0"/>
      <w:autoSpaceDE w:val="0"/>
      <w:autoSpaceDN w:val="0"/>
    </w:pPr>
    <w:rPr>
      <w:rFonts w:ascii="Museo Sans" w:eastAsia="Museo Sans" w:hAnsi="Museo Sans" w:cs="Museo Sans"/>
      <w:sz w:val="22"/>
      <w:szCs w:val="22"/>
      <w:lang w:val="en-US" w:bidi="en-US"/>
    </w:rPr>
  </w:style>
  <w:style w:type="character" w:customStyle="1" w:styleId="Heading1Char">
    <w:name w:val="Heading 1 Char"/>
    <w:basedOn w:val="DefaultParagraphFont"/>
    <w:link w:val="Heading1"/>
    <w:uiPriority w:val="9"/>
    <w:rsid w:val="00A14089"/>
    <w:rPr>
      <w:rFonts w:asciiTheme="majorHAnsi" w:eastAsiaTheme="majorEastAsia" w:hAnsiTheme="majorHAnsi" w:cstheme="majorBidi"/>
      <w:color w:val="365F91" w:themeColor="accent1" w:themeShade="BF"/>
      <w:sz w:val="32"/>
      <w:szCs w:val="32"/>
      <w:lang w:val="en-GB" w:eastAsia="en-US"/>
    </w:rPr>
  </w:style>
  <w:style w:type="character" w:customStyle="1" w:styleId="Heading2Char">
    <w:name w:val="Heading 2 Char"/>
    <w:basedOn w:val="DefaultParagraphFont"/>
    <w:link w:val="Heading2"/>
    <w:uiPriority w:val="9"/>
    <w:semiHidden/>
    <w:rsid w:val="00A14089"/>
    <w:rPr>
      <w:rFonts w:asciiTheme="majorHAnsi" w:eastAsiaTheme="majorEastAsia" w:hAnsiTheme="majorHAnsi" w:cstheme="majorBidi"/>
      <w:color w:val="365F91" w:themeColor="accent1" w:themeShade="BF"/>
      <w:sz w:val="26"/>
      <w:szCs w:val="26"/>
      <w:lang w:val="en-GB" w:eastAsia="en-US"/>
    </w:rPr>
  </w:style>
  <w:style w:type="paragraph" w:styleId="BodyText">
    <w:name w:val="Body Text"/>
    <w:basedOn w:val="Normal"/>
    <w:link w:val="BodyTextChar"/>
    <w:uiPriority w:val="1"/>
    <w:qFormat/>
    <w:rsid w:val="007B16C2"/>
    <w:pPr>
      <w:widowControl w:val="0"/>
      <w:autoSpaceDE w:val="0"/>
      <w:autoSpaceDN w:val="0"/>
    </w:pPr>
    <w:rPr>
      <w:rFonts w:ascii="Museo Sans" w:eastAsia="Museo Sans" w:hAnsi="Museo Sans" w:cs="Museo Sans"/>
      <w:sz w:val="18"/>
      <w:szCs w:val="18"/>
      <w:lang w:val="en-US" w:bidi="en-US"/>
    </w:rPr>
  </w:style>
  <w:style w:type="character" w:customStyle="1" w:styleId="BodyTextChar">
    <w:name w:val="Body Text Char"/>
    <w:basedOn w:val="DefaultParagraphFont"/>
    <w:link w:val="BodyText"/>
    <w:uiPriority w:val="1"/>
    <w:rsid w:val="007B16C2"/>
    <w:rPr>
      <w:rFonts w:ascii="Museo Sans" w:eastAsia="Museo Sans" w:hAnsi="Museo Sans" w:cs="Museo Sans"/>
      <w:sz w:val="18"/>
      <w:szCs w:val="18"/>
      <w:lang w:val="en-US" w:eastAsia="en-US" w:bidi="en-US"/>
    </w:rPr>
  </w:style>
  <w:style w:type="character" w:styleId="Emphasis">
    <w:name w:val="Emphasis"/>
    <w:basedOn w:val="DefaultParagraphFont"/>
    <w:uiPriority w:val="20"/>
    <w:qFormat/>
    <w:rsid w:val="007B16C2"/>
    <w:rPr>
      <w:i/>
      <w:iCs/>
    </w:rPr>
  </w:style>
  <w:style w:type="paragraph" w:styleId="CommentSubject">
    <w:name w:val="annotation subject"/>
    <w:basedOn w:val="CommentText"/>
    <w:next w:val="CommentText"/>
    <w:link w:val="CommentSubjectChar"/>
    <w:uiPriority w:val="99"/>
    <w:semiHidden/>
    <w:unhideWhenUsed/>
    <w:rsid w:val="007C4B36"/>
    <w:pPr>
      <w:widowControl/>
      <w:autoSpaceDE/>
      <w:autoSpaceDN/>
    </w:pPr>
    <w:rPr>
      <w:rFonts w:ascii="Calibri" w:eastAsia="Calibri" w:hAnsi="Calibri" w:cs="Times New Roman"/>
      <w:b/>
      <w:bCs/>
      <w:lang w:val="en-GB" w:bidi="ar-SA"/>
    </w:rPr>
  </w:style>
  <w:style w:type="character" w:customStyle="1" w:styleId="CommentSubjectChar">
    <w:name w:val="Comment Subject Char"/>
    <w:basedOn w:val="CommentTextChar"/>
    <w:link w:val="CommentSubject"/>
    <w:uiPriority w:val="99"/>
    <w:semiHidden/>
    <w:rsid w:val="007C4B36"/>
    <w:rPr>
      <w:rFonts w:ascii="Museo Sans" w:eastAsia="Museo Sans" w:hAnsi="Museo Sans" w:cs="Museo Sans"/>
      <w:b/>
      <w:bCs/>
      <w:lang w:val="en-GB" w:eastAsia="en-US" w:bidi="en-US"/>
    </w:rPr>
  </w:style>
  <w:style w:type="character" w:styleId="UnresolvedMention">
    <w:name w:val="Unresolved Mention"/>
    <w:basedOn w:val="DefaultParagraphFont"/>
    <w:uiPriority w:val="99"/>
    <w:semiHidden/>
    <w:unhideWhenUsed/>
    <w:rsid w:val="00BD3962"/>
    <w:rPr>
      <w:color w:val="605E5C"/>
      <w:shd w:val="clear" w:color="auto" w:fill="E1DFDD"/>
    </w:rPr>
  </w:style>
  <w:style w:type="character" w:styleId="FollowedHyperlink">
    <w:name w:val="FollowedHyperlink"/>
    <w:basedOn w:val="DefaultParagraphFont"/>
    <w:uiPriority w:val="99"/>
    <w:semiHidden/>
    <w:unhideWhenUsed/>
    <w:rsid w:val="00C95E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354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4.xml"/><Relationship Id="rId23" Type="http://schemas.microsoft.com/office/2018/08/relationships/commentsExtensible" Target="commentsExtensi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audit.vic.gov.au/report/access-public-sector-information?sec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4737D-CC65-4F9E-BB6D-FAFC05C89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Brackin</cp:lastModifiedBy>
  <cp:revision>2</cp:revision>
  <cp:lastPrinted>2017-12-19T01:45:00Z</cp:lastPrinted>
  <dcterms:created xsi:type="dcterms:W3CDTF">2020-02-26T05:21:00Z</dcterms:created>
  <dcterms:modified xsi:type="dcterms:W3CDTF">2020-02-26T05:21:00Z</dcterms:modified>
</cp:coreProperties>
</file>