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46C6" w14:textId="54073C21" w:rsidR="009A231F" w:rsidRPr="000675FB" w:rsidRDefault="009A231F" w:rsidP="009A231F">
      <w:pPr>
        <w:pStyle w:val="Heading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color w:val="430098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430098"/>
          <w:sz w:val="28"/>
          <w:szCs w:val="28"/>
        </w:rPr>
        <w:t>Overview</w:t>
      </w:r>
    </w:p>
    <w:p w14:paraId="08D83D2F" w14:textId="29198DAB" w:rsidR="009170B8" w:rsidRDefault="00CD3B71" w:rsidP="009A231F">
      <w:pPr>
        <w:pStyle w:val="Body"/>
      </w:pPr>
      <w:r>
        <w:t>On 17 January 2019, the Victorian Administrative Tribunal (</w:t>
      </w:r>
      <w:r w:rsidR="00B62B2D">
        <w:t xml:space="preserve">the </w:t>
      </w:r>
      <w:r w:rsidR="00B62B2D">
        <w:rPr>
          <w:b/>
          <w:bCs/>
        </w:rPr>
        <w:t>Tribunal</w:t>
      </w:r>
      <w:r>
        <w:t>)</w:t>
      </w:r>
      <w:r w:rsidR="009170B8">
        <w:t xml:space="preserve"> </w:t>
      </w:r>
      <w:r>
        <w:t xml:space="preserve">held that the State Revenue Office (the </w:t>
      </w:r>
      <w:r>
        <w:rPr>
          <w:b/>
          <w:bCs/>
        </w:rPr>
        <w:t>Respondent</w:t>
      </w:r>
      <w:r>
        <w:t xml:space="preserve">) had not interfered with the </w:t>
      </w:r>
      <w:r w:rsidR="009170B8" w:rsidRPr="000212BE">
        <w:t>C</w:t>
      </w:r>
      <w:r w:rsidRPr="000212BE">
        <w:t>omplainant</w:t>
      </w:r>
      <w:r w:rsidR="007316FC" w:rsidRPr="000212BE">
        <w:t>’s</w:t>
      </w:r>
      <w:r>
        <w:t xml:space="preserve"> privacy</w:t>
      </w:r>
      <w:r w:rsidR="004149A3">
        <w:t xml:space="preserve">. </w:t>
      </w:r>
    </w:p>
    <w:p w14:paraId="4227272D" w14:textId="2B9C30F4" w:rsidR="008E1F3A" w:rsidRDefault="004149A3" w:rsidP="009A231F">
      <w:pPr>
        <w:pStyle w:val="Body"/>
      </w:pPr>
      <w:r>
        <w:t xml:space="preserve">The Complainant alleged that </w:t>
      </w:r>
      <w:r w:rsidR="008E1F3A">
        <w:t xml:space="preserve">that the Respondent had disclosed his mobile phone number </w:t>
      </w:r>
      <w:r w:rsidR="009170B8">
        <w:t xml:space="preserve">to a private investigator </w:t>
      </w:r>
      <w:r w:rsidR="008E1F3A">
        <w:t>and</w:t>
      </w:r>
      <w:r w:rsidR="009170B8">
        <w:t xml:space="preserve"> had used his</w:t>
      </w:r>
      <w:r w:rsidR="008E1F3A">
        <w:t xml:space="preserve"> birth certificate </w:t>
      </w:r>
      <w:r w:rsidR="009170B8">
        <w:t xml:space="preserve">to ascertain details of his family members </w:t>
      </w:r>
      <w:r w:rsidR="008E1F3A">
        <w:t>without his consent</w:t>
      </w:r>
      <w:r w:rsidR="009170B8">
        <w:t>. He further alleged that</w:t>
      </w:r>
      <w:r w:rsidR="008E1F3A">
        <w:t xml:space="preserve"> </w:t>
      </w:r>
      <w:r w:rsidR="009170B8">
        <w:t xml:space="preserve">the Respondent </w:t>
      </w:r>
      <w:r w:rsidR="008E1F3A">
        <w:t xml:space="preserve">had failed to provide him with adequate responses to his </w:t>
      </w:r>
      <w:r w:rsidR="009170B8">
        <w:t xml:space="preserve">questions about </w:t>
      </w:r>
      <w:r w:rsidR="008E1F3A">
        <w:t xml:space="preserve">what personal information the Respondent held </w:t>
      </w:r>
      <w:r w:rsidR="009170B8">
        <w:t>about him</w:t>
      </w:r>
      <w:r w:rsidR="008E1F3A">
        <w:t xml:space="preserve">. </w:t>
      </w:r>
    </w:p>
    <w:p w14:paraId="69223CE8" w14:textId="46D88020" w:rsidR="009170B8" w:rsidRDefault="008E1F3A" w:rsidP="009A231F">
      <w:pPr>
        <w:pStyle w:val="Body"/>
      </w:pPr>
      <w:r>
        <w:t>The case centres around Information Privacy Principles (</w:t>
      </w:r>
      <w:r>
        <w:rPr>
          <w:b/>
          <w:bCs/>
        </w:rPr>
        <w:t>IPP</w:t>
      </w:r>
      <w:r>
        <w:t>) 1.1, 1.2, 1.3, 2.1 and 5.2</w:t>
      </w:r>
      <w:r w:rsidR="002373BD">
        <w:t>.</w:t>
      </w:r>
      <w:r w:rsidR="009170B8">
        <w:t xml:space="preserve"> Ultimately, the Tribunal found that the Respondent had not breached any of the IPPs and dismissed the application.</w:t>
      </w:r>
      <w:r w:rsidR="00BE0C45" w:rsidRPr="00BE0C45">
        <w:t xml:space="preserve"> </w:t>
      </w:r>
      <w:r w:rsidR="00BE0C45">
        <w:t xml:space="preserve">The decision can be accessed </w:t>
      </w:r>
      <w:hyperlink r:id="rId8" w:history="1">
        <w:r w:rsidR="00BE0C45" w:rsidRPr="008E1F3A">
          <w:rPr>
            <w:rStyle w:val="Hyperlink"/>
          </w:rPr>
          <w:t>here</w:t>
        </w:r>
      </w:hyperlink>
      <w:r w:rsidR="00BE0C45">
        <w:t>.</w:t>
      </w:r>
    </w:p>
    <w:p w14:paraId="34D9DB08" w14:textId="2F80C02E" w:rsidR="00CD3B71" w:rsidRDefault="009170B8" w:rsidP="009A231F">
      <w:pPr>
        <w:pStyle w:val="Body"/>
      </w:pPr>
      <w:r>
        <w:t>The decision</w:t>
      </w:r>
      <w:r w:rsidR="002373BD">
        <w:t xml:space="preserve"> </w:t>
      </w:r>
      <w:r w:rsidR="008E1F3A">
        <w:t>provides</w:t>
      </w:r>
      <w:r w:rsidR="009414FF">
        <w:t xml:space="preserve"> useful</w:t>
      </w:r>
      <w:r w:rsidR="008E1F3A">
        <w:t xml:space="preserve"> guidance on</w:t>
      </w:r>
      <w:r w:rsidR="009414FF">
        <w:t xml:space="preserve"> w</w:t>
      </w:r>
      <w:r w:rsidR="004149A3">
        <w:t>hen an employer</w:t>
      </w:r>
      <w:r w:rsidR="00BE0C45">
        <w:t>, when conducting a disciplinary investigation, may use or disclose information collected during the course of an employee’s onboarding process.</w:t>
      </w:r>
      <w:r w:rsidR="009414FF">
        <w:t xml:space="preserve"> </w:t>
      </w:r>
    </w:p>
    <w:p w14:paraId="5CFBD044" w14:textId="58C009B8" w:rsidR="007B041D" w:rsidRDefault="007B041D" w:rsidP="007B041D">
      <w:pPr>
        <w:pStyle w:val="Heading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color w:val="430098"/>
          <w:sz w:val="28"/>
          <w:szCs w:val="28"/>
        </w:rPr>
      </w:pPr>
      <w:r w:rsidRPr="000675FB">
        <w:rPr>
          <w:rFonts w:asciiTheme="minorHAnsi" w:hAnsiTheme="minorHAnsi" w:cstheme="minorHAnsi"/>
          <w:color w:val="430098"/>
          <w:sz w:val="28"/>
          <w:szCs w:val="28"/>
        </w:rPr>
        <w:t>The Complaint</w:t>
      </w:r>
    </w:p>
    <w:p w14:paraId="41D42B5E" w14:textId="6DCFF1CC" w:rsidR="00312949" w:rsidRDefault="009414FF" w:rsidP="008E1F3A">
      <w:pPr>
        <w:pStyle w:val="Body"/>
      </w:pPr>
      <w:r>
        <w:t xml:space="preserve">The Complainant was employed as a solicitor and senior solicitor by the Respondent. On 9 June 2019, </w:t>
      </w:r>
      <w:r w:rsidR="00D74404">
        <w:t xml:space="preserve">following an allegation into the Complainant’s conduct towards another employee and an allegation that the Complainant had accessed </w:t>
      </w:r>
      <w:r w:rsidR="004B7F48">
        <w:t>23</w:t>
      </w:r>
      <w:r w:rsidR="00D74404">
        <w:t xml:space="preserve"> taxpayers</w:t>
      </w:r>
      <w:r w:rsidR="009170B8">
        <w:t>’</w:t>
      </w:r>
      <w:r w:rsidR="00D74404">
        <w:t xml:space="preserve"> data without </w:t>
      </w:r>
      <w:r w:rsidR="00312949">
        <w:t>authorisation</w:t>
      </w:r>
      <w:r w:rsidR="00D74404">
        <w:t xml:space="preserve">, the Complainant’s employment was suspended. The Respondent </w:t>
      </w:r>
      <w:r w:rsidR="002373BD">
        <w:t>commenced</w:t>
      </w:r>
      <w:r w:rsidR="00D74404">
        <w:t xml:space="preserve"> a formal investigation </w:t>
      </w:r>
      <w:r w:rsidR="009170B8">
        <w:t>and</w:t>
      </w:r>
      <w:r w:rsidR="00D74404">
        <w:t xml:space="preserve"> appointed an external investigato</w:t>
      </w:r>
      <w:r w:rsidR="009170B8">
        <w:t>r to conduct part of the investigation</w:t>
      </w:r>
      <w:r w:rsidR="00D74404">
        <w:t xml:space="preserve">. </w:t>
      </w:r>
    </w:p>
    <w:p w14:paraId="6D8E70EF" w14:textId="57E5E050" w:rsidR="00A11663" w:rsidRDefault="00A11663" w:rsidP="00A11663">
      <w:pPr>
        <w:pStyle w:val="Body"/>
      </w:pPr>
      <w:r>
        <w:t xml:space="preserve">As part of the investigation, it was alleged that one of the unauthorised searches of taxpayer’s data performed by the Complainant had been for a taxpayer </w:t>
      </w:r>
      <w:r w:rsidR="001C4E1C">
        <w:t xml:space="preserve">with the </w:t>
      </w:r>
      <w:r w:rsidR="001C4E1C" w:rsidRPr="001C4E1C">
        <w:t>same</w:t>
      </w:r>
      <w:r w:rsidR="001C4E1C" w:rsidRPr="000212BE">
        <w:t xml:space="preserve"> surname</w:t>
      </w:r>
      <w:r w:rsidR="001C4E1C">
        <w:t>.</w:t>
      </w:r>
      <w:r>
        <w:t xml:space="preserve"> The Respondent used the Complainant’s birth certificate to ascertain th</w:t>
      </w:r>
      <w:r w:rsidR="001C4E1C">
        <w:t>at this person was the complainant’s father.</w:t>
      </w:r>
      <w:r>
        <w:t xml:space="preserve">  The birth certificate had been provided by the Complainant as part of his employment onboarding </w:t>
      </w:r>
      <w:r w:rsidR="00242AFE">
        <w:t xml:space="preserve">in order to establish proof of residency </w:t>
      </w:r>
      <w:r>
        <w:t xml:space="preserve">when he first commenced employment. </w:t>
      </w:r>
    </w:p>
    <w:p w14:paraId="098C7C6F" w14:textId="00EAEB32" w:rsidR="00A11663" w:rsidRDefault="00A11663" w:rsidP="008E1F3A">
      <w:pPr>
        <w:pStyle w:val="Body"/>
      </w:pPr>
      <w:r>
        <w:t xml:space="preserve">The respondent had also </w:t>
      </w:r>
      <w:r>
        <w:rPr>
          <w:rStyle w:val="Strong"/>
          <w:b w:val="0"/>
          <w:bCs w:val="0"/>
        </w:rPr>
        <w:t>disclosed</w:t>
      </w:r>
      <w:r w:rsidRPr="008F4544">
        <w:rPr>
          <w:rStyle w:val="Strong"/>
          <w:b w:val="0"/>
          <w:bCs w:val="0"/>
        </w:rPr>
        <w:t xml:space="preserve"> the</w:t>
      </w:r>
      <w:r>
        <w:rPr>
          <w:rStyle w:val="Strong"/>
          <w:b w:val="0"/>
          <w:bCs w:val="0"/>
        </w:rPr>
        <w:t xml:space="preserve"> Complainant’s mobile</w:t>
      </w:r>
      <w:r w:rsidRPr="008F4544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phone number to the external investigator as part of the investigation so that they could contact the Complainant.</w:t>
      </w:r>
      <w:r w:rsidRPr="00A11663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The Complainant had provided his mobile phone number to the Respondent as part of his employment onboarding when he first commenced employment.</w:t>
      </w:r>
    </w:p>
    <w:p w14:paraId="5CD2C5AF" w14:textId="466847D5" w:rsidR="00312949" w:rsidRPr="00312949" w:rsidRDefault="00312949" w:rsidP="00312949">
      <w:pPr>
        <w:pStyle w:val="Heading5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 1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.1</w:t>
      </w:r>
    </w:p>
    <w:p w14:paraId="00F6DC8F" w14:textId="18DBA343" w:rsidR="00B62B2D" w:rsidRDefault="00B62B2D" w:rsidP="008E1F3A">
      <w:pPr>
        <w:pStyle w:val="Body"/>
      </w:pPr>
      <w:r>
        <w:t xml:space="preserve">The Complainant alleged that the Respondent had breached IPP 1.1 </w:t>
      </w:r>
      <w:r w:rsidR="00242AFE">
        <w:t xml:space="preserve">because </w:t>
      </w:r>
      <w:r w:rsidR="008176D7">
        <w:t>collecting his</w:t>
      </w:r>
      <w:r>
        <w:t xml:space="preserve"> birth certificate was </w:t>
      </w:r>
      <w:r w:rsidR="008176D7">
        <w:t xml:space="preserve">not necessary for the purpose of </w:t>
      </w:r>
      <w:r>
        <w:t>evidenc</w:t>
      </w:r>
      <w:r w:rsidR="008176D7">
        <w:t>ing</w:t>
      </w:r>
      <w:r>
        <w:t xml:space="preserve"> </w:t>
      </w:r>
      <w:r w:rsidR="008176D7">
        <w:t>his</w:t>
      </w:r>
      <w:r>
        <w:t xml:space="preserve"> proof of residency</w:t>
      </w:r>
      <w:r w:rsidR="008176D7">
        <w:t>. He asserted that collecting</w:t>
      </w:r>
      <w:r>
        <w:t xml:space="preserve"> a copy of his passport or citizenship certificate would have been sufficient. </w:t>
      </w:r>
    </w:p>
    <w:p w14:paraId="15FC3682" w14:textId="7E2E60CF" w:rsidR="00D273E3" w:rsidRPr="00312949" w:rsidRDefault="00D273E3" w:rsidP="00D273E3">
      <w:pPr>
        <w:pStyle w:val="Heading5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 1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.2</w:t>
      </w:r>
    </w:p>
    <w:p w14:paraId="04DFBA56" w14:textId="0615F04E" w:rsidR="00D273E3" w:rsidRDefault="00D273E3" w:rsidP="008E1F3A">
      <w:pPr>
        <w:pStyle w:val="Body"/>
      </w:pPr>
      <w:r>
        <w:t xml:space="preserve">The Complainant alleged that the respondent had collected his personal information in an unfair, unlawful </w:t>
      </w:r>
      <w:r>
        <w:lastRenderedPageBreak/>
        <w:t>or unreasonably intrusive way as it did so without his knowledge or consent.</w:t>
      </w:r>
    </w:p>
    <w:p w14:paraId="26A64245" w14:textId="0E4D23DA" w:rsidR="007F647F" w:rsidRDefault="007F647F" w:rsidP="007F647F">
      <w:pPr>
        <w:pStyle w:val="Heading5"/>
        <w:shd w:val="clear" w:color="auto" w:fill="FFFFFF"/>
        <w:spacing w:before="120" w:beforeAutospacing="0" w:after="24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1.3</w:t>
      </w:r>
    </w:p>
    <w:p w14:paraId="6DECB059" w14:textId="4D54045F" w:rsidR="0025647B" w:rsidRDefault="008F4544" w:rsidP="000212BE">
      <w:pPr>
        <w:pStyle w:val="Body"/>
        <w:rPr>
          <w:rStyle w:val="Strong"/>
          <w:rFonts w:asciiTheme="minorHAnsi" w:eastAsia="Times New Roman" w:hAnsiTheme="minorHAnsi" w:cstheme="minorHAnsi"/>
          <w:lang w:val="en-AU" w:eastAsia="en-AU"/>
        </w:rPr>
      </w:pPr>
      <w:r>
        <w:rPr>
          <w:rStyle w:val="Strong"/>
          <w:b w:val="0"/>
          <w:bCs w:val="0"/>
        </w:rPr>
        <w:t>The Complainant alleged that when the Respondent disclosed his mobile phone number</w:t>
      </w:r>
      <w:r w:rsidR="00A11663">
        <w:rPr>
          <w:rStyle w:val="Strong"/>
          <w:b w:val="0"/>
          <w:bCs w:val="0"/>
        </w:rPr>
        <w:t xml:space="preserve"> and birth certificate</w:t>
      </w:r>
      <w:r>
        <w:rPr>
          <w:rStyle w:val="Strong"/>
          <w:b w:val="0"/>
          <w:bCs w:val="0"/>
        </w:rPr>
        <w:t xml:space="preserve"> to the external investigator, the Respondent had breached IPP 1.3 because it had not made </w:t>
      </w:r>
      <w:r w:rsidR="00242AFE">
        <w:rPr>
          <w:rStyle w:val="Strong"/>
          <w:b w:val="0"/>
          <w:bCs w:val="0"/>
        </w:rPr>
        <w:t>him</w:t>
      </w:r>
      <w:r>
        <w:rPr>
          <w:rStyle w:val="Strong"/>
          <w:b w:val="0"/>
          <w:bCs w:val="0"/>
        </w:rPr>
        <w:t xml:space="preserve"> aware that such disclosure</w:t>
      </w:r>
      <w:r w:rsidR="00A11663">
        <w:rPr>
          <w:rStyle w:val="Strong"/>
          <w:b w:val="0"/>
          <w:bCs w:val="0"/>
        </w:rPr>
        <w:t>s</w:t>
      </w:r>
      <w:r w:rsidR="00242AFE">
        <w:rPr>
          <w:rStyle w:val="Strong"/>
          <w:b w:val="0"/>
          <w:bCs w:val="0"/>
        </w:rPr>
        <w:t xml:space="preserve"> of his personal information</w:t>
      </w:r>
      <w:r>
        <w:rPr>
          <w:rStyle w:val="Strong"/>
          <w:b w:val="0"/>
          <w:bCs w:val="0"/>
        </w:rPr>
        <w:t xml:space="preserve"> </w:t>
      </w:r>
      <w:r w:rsidR="00A11663">
        <w:rPr>
          <w:rStyle w:val="Strong"/>
          <w:b w:val="0"/>
          <w:bCs w:val="0"/>
        </w:rPr>
        <w:t>would occur</w:t>
      </w:r>
      <w:r w:rsidR="004B7F48">
        <w:rPr>
          <w:rStyle w:val="Strong"/>
          <w:b w:val="0"/>
          <w:bCs w:val="0"/>
        </w:rPr>
        <w:t>.</w:t>
      </w:r>
    </w:p>
    <w:p w14:paraId="1F52FE4A" w14:textId="784E4652" w:rsidR="004B7F48" w:rsidRPr="004B7F48" w:rsidRDefault="004B7F48" w:rsidP="000212BE">
      <w:pPr>
        <w:pStyle w:val="Heading5"/>
        <w:shd w:val="clear" w:color="auto" w:fill="FFFFFF"/>
        <w:spacing w:before="0" w:beforeAutospacing="0" w:after="240" w:afterAutospacing="0"/>
        <w:rPr>
          <w:rStyle w:val="Strong"/>
          <w:rFonts w:asciiTheme="minorHAnsi" w:eastAsia="Calibri" w:hAnsiTheme="minorHAnsi" w:cstheme="minorHAnsi"/>
          <w:b/>
          <w:bCs/>
          <w:sz w:val="24"/>
          <w:szCs w:val="24"/>
          <w:lang w:val="en-GB" w:eastAsia="en-US"/>
        </w:rPr>
      </w:pP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</w:t>
      </w: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2.1</w:t>
      </w:r>
    </w:p>
    <w:p w14:paraId="7F26B01B" w14:textId="2B38822F" w:rsidR="00156EFA" w:rsidRDefault="00156EFA" w:rsidP="008E1F3A">
      <w:pPr>
        <w:pStyle w:val="Body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Complainant argued that it was not necessary to provide the external investigator with his phone number as he had engaged legal representatives to act on his behalf. </w:t>
      </w:r>
    </w:p>
    <w:p w14:paraId="327B5F5B" w14:textId="05ADDA34" w:rsidR="007F647F" w:rsidRDefault="00512635" w:rsidP="008E1F3A">
      <w:pPr>
        <w:pStyle w:val="Body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Complainant</w:t>
      </w:r>
      <w:r w:rsidR="00156EFA">
        <w:rPr>
          <w:rStyle w:val="Strong"/>
          <w:b w:val="0"/>
          <w:bCs w:val="0"/>
        </w:rPr>
        <w:t xml:space="preserve"> also asserted that</w:t>
      </w:r>
      <w:r w:rsidR="004B7F48">
        <w:rPr>
          <w:rStyle w:val="Strong"/>
          <w:b w:val="0"/>
          <w:bCs w:val="0"/>
        </w:rPr>
        <w:t xml:space="preserve"> </w:t>
      </w:r>
      <w:r w:rsidR="00156EFA">
        <w:rPr>
          <w:rStyle w:val="Strong"/>
          <w:b w:val="0"/>
          <w:bCs w:val="0"/>
        </w:rPr>
        <w:t xml:space="preserve">the fact that the investigation ultimately showed that </w:t>
      </w:r>
      <w:r>
        <w:rPr>
          <w:rStyle w:val="Strong"/>
          <w:b w:val="0"/>
          <w:bCs w:val="0"/>
        </w:rPr>
        <w:t>he</w:t>
      </w:r>
      <w:r w:rsidR="00156EFA">
        <w:rPr>
          <w:rStyle w:val="Strong"/>
          <w:b w:val="0"/>
          <w:bCs w:val="0"/>
        </w:rPr>
        <w:t xml:space="preserve"> had not conducted a search for </w:t>
      </w:r>
      <w:r w:rsidR="001C4E1C">
        <w:rPr>
          <w:rStyle w:val="Strong"/>
          <w:b w:val="0"/>
          <w:bCs w:val="0"/>
        </w:rPr>
        <w:t>his father’s name</w:t>
      </w:r>
      <w:r w:rsidR="00156EFA">
        <w:rPr>
          <w:rStyle w:val="Strong"/>
          <w:b w:val="0"/>
          <w:bCs w:val="0"/>
        </w:rPr>
        <w:t xml:space="preserve">, demonstrated that the investigation was based on a false allegation and that there was no proper reason or probative basis to access his birth certificate. </w:t>
      </w:r>
    </w:p>
    <w:p w14:paraId="73EEA3FF" w14:textId="590DDC40" w:rsidR="007E67AC" w:rsidRDefault="007E67AC" w:rsidP="007E67AC">
      <w:pPr>
        <w:pStyle w:val="Heading5"/>
        <w:shd w:val="clear" w:color="auto" w:fill="FFFFFF"/>
        <w:spacing w:before="120" w:beforeAutospacing="0" w:after="24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</w:t>
      </w: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5.2</w:t>
      </w:r>
    </w:p>
    <w:p w14:paraId="03C75D65" w14:textId="438DB0F7" w:rsidR="007E67AC" w:rsidRPr="007E67AC" w:rsidRDefault="007E67AC" w:rsidP="007E67AC">
      <w:pPr>
        <w:pStyle w:val="Body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On 1 October 2018, the Complainant emailed the Respondent requesting a detailed list of the personal information the Respondent held regarding him. The Respondent responded </w:t>
      </w:r>
      <w:r w:rsidR="00B224A3">
        <w:rPr>
          <w:rStyle w:val="Strong"/>
          <w:b w:val="0"/>
          <w:bCs w:val="0"/>
        </w:rPr>
        <w:t xml:space="preserve">in a letter dated 30 November 2018 outlining the general information they held regarding the Complainant. The Complainant argued that the generality of the responses breached IPP 5.2. </w:t>
      </w:r>
    </w:p>
    <w:p w14:paraId="5837DAC1" w14:textId="093F4FBC" w:rsidR="007B041D" w:rsidRDefault="007B041D" w:rsidP="007B041D">
      <w:pPr>
        <w:pStyle w:val="Heading2"/>
        <w:keepNext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color w:val="430098"/>
          <w:sz w:val="28"/>
          <w:szCs w:val="28"/>
        </w:rPr>
      </w:pPr>
      <w:r w:rsidRPr="000675FB">
        <w:rPr>
          <w:rFonts w:asciiTheme="minorHAnsi" w:hAnsiTheme="minorHAnsi" w:cstheme="minorHAnsi"/>
          <w:color w:val="430098"/>
          <w:sz w:val="28"/>
          <w:szCs w:val="28"/>
        </w:rPr>
        <w:t>The Decision</w:t>
      </w:r>
    </w:p>
    <w:p w14:paraId="31F51B05" w14:textId="77777777" w:rsidR="007F647F" w:rsidRPr="00312949" w:rsidRDefault="007F647F" w:rsidP="007F647F">
      <w:pPr>
        <w:pStyle w:val="Heading5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 1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.1</w:t>
      </w:r>
    </w:p>
    <w:p w14:paraId="21E7CB00" w14:textId="0B3907DC" w:rsidR="00242AFE" w:rsidRPr="00891406" w:rsidRDefault="00242AFE" w:rsidP="007F647F">
      <w:pPr>
        <w:pStyle w:val="Body"/>
      </w:pPr>
      <w:r>
        <w:t xml:space="preserve">The Tribunal followed what it noted as a ‘relaxed meaning of ‘necessity’’ which was adopted in the 2005 Tribunal decision of </w:t>
      </w:r>
      <w:r w:rsidRPr="000212BE">
        <w:rPr>
          <w:i/>
          <w:iCs/>
        </w:rPr>
        <w:t>NG v Department of Education</w:t>
      </w:r>
      <w:r>
        <w:rPr>
          <w:rStyle w:val="FootnoteReference"/>
          <w:i/>
          <w:iCs/>
        </w:rPr>
        <w:footnoteReference w:id="1"/>
      </w:r>
      <w:r>
        <w:t xml:space="preserve">. In that case, the Tribunal </w:t>
      </w:r>
      <w:r w:rsidR="00507A8F">
        <w:t>found that necessity meant whether the collection is ‘reasonably required or legally ancillary’ to the organisation’s functions.</w:t>
      </w:r>
    </w:p>
    <w:p w14:paraId="2C1BFBA1" w14:textId="5E9CA74E" w:rsidR="008F4544" w:rsidRDefault="007F647F" w:rsidP="007F647F">
      <w:pPr>
        <w:pStyle w:val="Body"/>
      </w:pPr>
      <w:r>
        <w:t xml:space="preserve">The Tribunal was </w:t>
      </w:r>
      <w:r w:rsidR="00507A8F">
        <w:t xml:space="preserve">therefore </w:t>
      </w:r>
      <w:r>
        <w:t xml:space="preserve">satisfied that the requirement to provide a birth certificate was </w:t>
      </w:r>
      <w:r w:rsidR="00507A8F">
        <w:t>‘</w:t>
      </w:r>
      <w:r>
        <w:t>necessary</w:t>
      </w:r>
      <w:r w:rsidR="00507A8F">
        <w:t xml:space="preserve">’ </w:t>
      </w:r>
      <w:r>
        <w:t>to carry out the Respondent’s functions</w:t>
      </w:r>
      <w:r w:rsidR="00507A8F">
        <w:t xml:space="preserve"> as an employer</w:t>
      </w:r>
      <w:r>
        <w:t>.</w:t>
      </w:r>
      <w:r w:rsidR="002373BD">
        <w:t xml:space="preserve"> The Tribunal</w:t>
      </w:r>
      <w:r w:rsidR="00507A8F">
        <w:t xml:space="preserve"> noted that the fact that Respondent </w:t>
      </w:r>
      <w:r w:rsidR="002373BD">
        <w:t xml:space="preserve"> </w:t>
      </w:r>
      <w:r w:rsidR="00507A8F">
        <w:t xml:space="preserve">offered alternative ways of proving one’s residence did not alter the necessity of the collection of the Complainant’s birth certificate. </w:t>
      </w:r>
    </w:p>
    <w:p w14:paraId="708CAFA0" w14:textId="57B0C437" w:rsidR="00507A8F" w:rsidRDefault="00507A8F" w:rsidP="007F647F">
      <w:pPr>
        <w:pStyle w:val="Body"/>
        <w:rPr>
          <w:b/>
          <w:bCs/>
          <w:color w:val="auto"/>
          <w:sz w:val="24"/>
          <w:szCs w:val="24"/>
        </w:rPr>
      </w:pPr>
      <w:r w:rsidRPr="000212BE">
        <w:rPr>
          <w:b/>
          <w:bCs/>
          <w:color w:val="auto"/>
          <w:sz w:val="24"/>
          <w:szCs w:val="24"/>
        </w:rPr>
        <w:t>IPP 1.2</w:t>
      </w:r>
    </w:p>
    <w:p w14:paraId="3364582F" w14:textId="4B29DC8A" w:rsidR="00507A8F" w:rsidRPr="00D273E3" w:rsidRDefault="00D273E3" w:rsidP="007F647F">
      <w:pPr>
        <w:pStyle w:val="Body"/>
      </w:pPr>
      <w:r w:rsidRPr="000212BE">
        <w:t>The Tribunal</w:t>
      </w:r>
      <w:r>
        <w:t xml:space="preserve"> </w:t>
      </w:r>
      <w:r w:rsidR="00AD2293">
        <w:t>fo</w:t>
      </w:r>
      <w:r>
        <w:t xml:space="preserve">und that the Respondent came into possession of the </w:t>
      </w:r>
      <w:r w:rsidR="00AD2293">
        <w:t xml:space="preserve">birth certificate because the Complainant had provided it with a copy at the start of his employment. </w:t>
      </w:r>
      <w:r w:rsidR="00BB0CEE">
        <w:t>It held that there was nothing unfair, unlawful or unreasonably intrusive about such a collection.</w:t>
      </w:r>
    </w:p>
    <w:p w14:paraId="4891273B" w14:textId="4D2FE490" w:rsidR="008F4544" w:rsidRDefault="008F4544" w:rsidP="008F4544">
      <w:pPr>
        <w:pStyle w:val="Heading5"/>
        <w:shd w:val="clear" w:color="auto" w:fill="FFFFFF"/>
        <w:spacing w:before="120" w:beforeAutospacing="0" w:after="24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1.3</w:t>
      </w:r>
    </w:p>
    <w:p w14:paraId="73B4FAE5" w14:textId="6A79B59E" w:rsidR="009A4E39" w:rsidRDefault="008F4544" w:rsidP="007F647F">
      <w:pPr>
        <w:pStyle w:val="Body"/>
        <w:rPr>
          <w:rStyle w:val="Strong"/>
          <w:b w:val="0"/>
          <w:bCs w:val="0"/>
        </w:rPr>
      </w:pPr>
      <w:r w:rsidRPr="008F4544">
        <w:rPr>
          <w:rStyle w:val="Strong"/>
          <w:b w:val="0"/>
          <w:bCs w:val="0"/>
        </w:rPr>
        <w:t xml:space="preserve">The Tribunal </w:t>
      </w:r>
      <w:r w:rsidR="00410165">
        <w:rPr>
          <w:rStyle w:val="Strong"/>
          <w:b w:val="0"/>
          <w:bCs w:val="0"/>
        </w:rPr>
        <w:t xml:space="preserve">took a narrow interpretation of IPP 1.3 </w:t>
      </w:r>
      <w:r w:rsidR="009A4E39">
        <w:rPr>
          <w:rStyle w:val="Strong"/>
          <w:b w:val="0"/>
          <w:bCs w:val="0"/>
        </w:rPr>
        <w:t xml:space="preserve">by holding that </w:t>
      </w:r>
      <w:r w:rsidR="00CD59DA">
        <w:rPr>
          <w:rStyle w:val="Strong"/>
          <w:b w:val="0"/>
          <w:bCs w:val="0"/>
        </w:rPr>
        <w:t>its relevance</w:t>
      </w:r>
      <w:r w:rsidR="009A4E39">
        <w:rPr>
          <w:rStyle w:val="Strong"/>
          <w:b w:val="0"/>
          <w:bCs w:val="0"/>
        </w:rPr>
        <w:t xml:space="preserve"> was limited to the point of collection of information from the </w:t>
      </w:r>
      <w:r w:rsidR="00507A8F">
        <w:rPr>
          <w:rStyle w:val="Strong"/>
          <w:b w:val="0"/>
          <w:bCs w:val="0"/>
        </w:rPr>
        <w:t>Complainant</w:t>
      </w:r>
      <w:r w:rsidR="009A4E39">
        <w:rPr>
          <w:rStyle w:val="Strong"/>
          <w:b w:val="0"/>
          <w:bCs w:val="0"/>
        </w:rPr>
        <w:t xml:space="preserve">. </w:t>
      </w:r>
      <w:r w:rsidR="00CD59DA">
        <w:rPr>
          <w:rStyle w:val="Strong"/>
          <w:b w:val="0"/>
          <w:bCs w:val="0"/>
        </w:rPr>
        <w:t>This occurred</w:t>
      </w:r>
      <w:r w:rsidR="009A4E39">
        <w:rPr>
          <w:rStyle w:val="Strong"/>
          <w:b w:val="0"/>
          <w:bCs w:val="0"/>
        </w:rPr>
        <w:t xml:space="preserve"> during the Complainant’s initial employment onboarding</w:t>
      </w:r>
      <w:r w:rsidR="00CD59DA">
        <w:rPr>
          <w:rStyle w:val="Strong"/>
          <w:b w:val="0"/>
          <w:bCs w:val="0"/>
        </w:rPr>
        <w:t xml:space="preserve"> so</w:t>
      </w:r>
      <w:r w:rsidR="009A4E39">
        <w:rPr>
          <w:rStyle w:val="Strong"/>
          <w:b w:val="0"/>
          <w:bCs w:val="0"/>
        </w:rPr>
        <w:t xml:space="preserve"> the Respondent was not under an obligation several </w:t>
      </w:r>
      <w:r w:rsidR="00507A8F">
        <w:rPr>
          <w:rStyle w:val="Strong"/>
          <w:b w:val="0"/>
          <w:bCs w:val="0"/>
        </w:rPr>
        <w:t xml:space="preserve">years </w:t>
      </w:r>
      <w:r w:rsidR="009A4E39">
        <w:rPr>
          <w:rStyle w:val="Strong"/>
          <w:b w:val="0"/>
          <w:bCs w:val="0"/>
        </w:rPr>
        <w:t>later</w:t>
      </w:r>
      <w:r w:rsidR="00CD59DA">
        <w:rPr>
          <w:rStyle w:val="Strong"/>
          <w:b w:val="0"/>
          <w:bCs w:val="0"/>
        </w:rPr>
        <w:t xml:space="preserve"> to notify the Complainant</w:t>
      </w:r>
      <w:r w:rsidR="009A4E39">
        <w:rPr>
          <w:rStyle w:val="Strong"/>
          <w:b w:val="0"/>
          <w:bCs w:val="0"/>
        </w:rPr>
        <w:t xml:space="preserve"> </w:t>
      </w:r>
      <w:r w:rsidR="00CD59DA">
        <w:rPr>
          <w:rStyle w:val="Strong"/>
          <w:b w:val="0"/>
          <w:bCs w:val="0"/>
        </w:rPr>
        <w:t>that the</w:t>
      </w:r>
      <w:r w:rsidR="009A4E39">
        <w:rPr>
          <w:rStyle w:val="Strong"/>
          <w:b w:val="0"/>
          <w:bCs w:val="0"/>
        </w:rPr>
        <w:t xml:space="preserve"> disclosure occurred.</w:t>
      </w:r>
      <w:r w:rsidR="00CD59DA">
        <w:rPr>
          <w:rStyle w:val="Strong"/>
          <w:b w:val="0"/>
          <w:bCs w:val="0"/>
        </w:rPr>
        <w:t xml:space="preserve"> Rather, the Tribunal found that the Complainant’s concerns in this regard raised issues around use and disclosure (thus engaging IPP 2.1) but not collection.</w:t>
      </w:r>
    </w:p>
    <w:p w14:paraId="4E1075F8" w14:textId="77777777" w:rsidR="004B7F48" w:rsidRPr="004B7F48" w:rsidRDefault="004B7F48" w:rsidP="004B7F48">
      <w:pPr>
        <w:pStyle w:val="Heading5"/>
        <w:shd w:val="clear" w:color="auto" w:fill="FFFFFF"/>
        <w:spacing w:before="120" w:beforeAutospacing="0" w:after="24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lastRenderedPageBreak/>
        <w:t>IPP</w:t>
      </w: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2.1</w:t>
      </w:r>
    </w:p>
    <w:p w14:paraId="22B8F8FC" w14:textId="1ECA3EC4" w:rsidR="008C0586" w:rsidRDefault="008C0586" w:rsidP="004B7F48">
      <w:pPr>
        <w:pStyle w:val="Body"/>
      </w:pPr>
      <w:r>
        <w:t>The Tribunal found that the primary purpose of collecting the Complainant’s phone number was to contact him about important work-related matters when he was not at work and that it was then disclosed to the investigator for this primary purpose.</w:t>
      </w:r>
    </w:p>
    <w:p w14:paraId="0C6F0016" w14:textId="313393C7" w:rsidR="008C0586" w:rsidRDefault="00156EFA" w:rsidP="004B7F48">
      <w:pPr>
        <w:pStyle w:val="Body"/>
      </w:pPr>
      <w:r>
        <w:t xml:space="preserve">The Tribunal </w:t>
      </w:r>
      <w:r w:rsidR="008C0586">
        <w:t xml:space="preserve">found that the primary purpose of collecting the Complainant’s birth certificate was to verify his identity and proof of residency. It found that it was then used for a secondary purpose of identifying the complainant’s father. </w:t>
      </w:r>
    </w:p>
    <w:p w14:paraId="59510C87" w14:textId="0CF1E3DC" w:rsidR="007B5A16" w:rsidRDefault="008C0586" w:rsidP="004B7F48">
      <w:pPr>
        <w:pStyle w:val="Body"/>
      </w:pPr>
      <w:r>
        <w:t xml:space="preserve">The Tribunal considered that this was related to the primary purpose as it occurred </w:t>
      </w:r>
      <w:r w:rsidR="00D74C48">
        <w:t>‘with</w:t>
      </w:r>
      <w:r>
        <w:t>in the context of a workplace investigation</w:t>
      </w:r>
      <w:r w:rsidR="00D74C48">
        <w:t xml:space="preserve"> and therefore related to the complainant’s ongoing status as an employee’</w:t>
      </w:r>
      <w:r w:rsidR="00512635">
        <w:t xml:space="preserve">. It rejected the Complainant’s assertion that if there is no finding of misconduct then then the investigation should not have occurred, noting that </w:t>
      </w:r>
      <w:r w:rsidR="007B5A16">
        <w:t>the ability for employers to investigate allegations of employee misconduct was necessary for the effective operation of the employment relationship.</w:t>
      </w:r>
    </w:p>
    <w:p w14:paraId="12F7E58D" w14:textId="43704F07" w:rsidR="00156EFA" w:rsidRDefault="007B5A16" w:rsidP="004B7F48">
      <w:pPr>
        <w:pStyle w:val="Body"/>
      </w:pPr>
      <w:r>
        <w:t xml:space="preserve">The Tribunal also found that </w:t>
      </w:r>
      <w:r w:rsidR="008C0586">
        <w:t>an employee under investigation would reasonably expect</w:t>
      </w:r>
      <w:r>
        <w:t xml:space="preserve"> such a secondary use in the form of all relevant personal information on their personnel being made available to an investigator.</w:t>
      </w:r>
    </w:p>
    <w:p w14:paraId="3288B3E0" w14:textId="6C34C462" w:rsidR="00B224A3" w:rsidRPr="004B7F48" w:rsidRDefault="00B224A3" w:rsidP="00B224A3">
      <w:pPr>
        <w:pStyle w:val="Heading5"/>
        <w:shd w:val="clear" w:color="auto" w:fill="FFFFFF"/>
        <w:spacing w:before="120" w:beforeAutospacing="0" w:after="240" w:afterAutospacing="0"/>
        <w:rPr>
          <w:rStyle w:val="Strong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IPP</w:t>
      </w:r>
      <w:r w:rsidRPr="003A111E">
        <w:rPr>
          <w:rStyle w:val="Strong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b/>
          <w:bCs/>
          <w:sz w:val="24"/>
          <w:szCs w:val="24"/>
        </w:rPr>
        <w:t>5.2</w:t>
      </w:r>
    </w:p>
    <w:p w14:paraId="56B63D4C" w14:textId="2280F347" w:rsidR="00B224A3" w:rsidRPr="00B224A3" w:rsidRDefault="00B224A3" w:rsidP="00B224A3">
      <w:pPr>
        <w:pStyle w:val="Body"/>
      </w:pPr>
      <w:r>
        <w:t xml:space="preserve">The Tribunal rejected the Complainant’s argument, holding that IPP 5.2 only required the Respondent to inform the Complainant </w:t>
      </w:r>
      <w:r w:rsidR="007B5A16">
        <w:t>‘</w:t>
      </w:r>
      <w:r>
        <w:t>generally, what sort of information</w:t>
      </w:r>
      <w:r w:rsidR="007B5A16">
        <w:t xml:space="preserve">’ </w:t>
      </w:r>
      <w:r>
        <w:t xml:space="preserve">it held. IPP 5.2 did not require the Respondent to undertake </w:t>
      </w:r>
      <w:r w:rsidR="007B5A16">
        <w:t>‘</w:t>
      </w:r>
      <w:r>
        <w:t>an inventory or audit of the personal information held</w:t>
      </w:r>
      <w:r w:rsidR="007B5A16">
        <w:t>’.</w:t>
      </w:r>
    </w:p>
    <w:p w14:paraId="02801F70" w14:textId="2DC2BF0C" w:rsidR="007B041D" w:rsidRPr="000675FB" w:rsidRDefault="007B041D" w:rsidP="007B041D">
      <w:pPr>
        <w:pStyle w:val="Heading2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color w:val="430098"/>
          <w:sz w:val="28"/>
          <w:szCs w:val="28"/>
        </w:rPr>
      </w:pPr>
      <w:r w:rsidRPr="000675FB">
        <w:rPr>
          <w:rFonts w:asciiTheme="minorHAnsi" w:hAnsiTheme="minorHAnsi" w:cstheme="minorHAnsi"/>
          <w:color w:val="430098"/>
          <w:sz w:val="28"/>
          <w:szCs w:val="28"/>
        </w:rPr>
        <w:t>Orders</w:t>
      </w:r>
    </w:p>
    <w:p w14:paraId="0842C3AA" w14:textId="4801B56C" w:rsidR="007B041D" w:rsidRPr="00564324" w:rsidRDefault="00D42B9B" w:rsidP="0025647B">
      <w:pPr>
        <w:pStyle w:val="Body"/>
      </w:pPr>
      <w:r>
        <w:t>The Tribunal</w:t>
      </w:r>
      <w:r w:rsidRPr="00564324">
        <w:t xml:space="preserve"> </w:t>
      </w:r>
      <w:r w:rsidR="0026470F">
        <w:t>found</w:t>
      </w:r>
      <w:r w:rsidR="00564324" w:rsidRPr="00564324">
        <w:t xml:space="preserve"> </w:t>
      </w:r>
      <w:r w:rsidR="007B041D" w:rsidRPr="00564324">
        <w:t xml:space="preserve">the complaint </w:t>
      </w:r>
      <w:r w:rsidR="00564324" w:rsidRPr="00564324">
        <w:t>was</w:t>
      </w:r>
      <w:r w:rsidR="007B041D" w:rsidRPr="00564324">
        <w:t xml:space="preserve"> not proven</w:t>
      </w:r>
      <w:r w:rsidR="00B224A3">
        <w:t xml:space="preserve"> on all grounds</w:t>
      </w:r>
      <w:r w:rsidR="007B041D" w:rsidRPr="00564324">
        <w:t xml:space="preserve"> and </w:t>
      </w:r>
      <w:r w:rsidR="00564324">
        <w:t>dismissed</w:t>
      </w:r>
      <w:r w:rsidR="0026470F">
        <w:t xml:space="preserve"> the application</w:t>
      </w:r>
      <w:r w:rsidR="00564324">
        <w:t>.</w:t>
      </w:r>
      <w:r w:rsidR="007B041D" w:rsidRPr="00564324">
        <w:t xml:space="preserve"> </w:t>
      </w:r>
    </w:p>
    <w:p w14:paraId="0458F82D" w14:textId="095DE7BB" w:rsidR="007B041D" w:rsidRPr="000675FB" w:rsidRDefault="007B041D" w:rsidP="00D42B9B">
      <w:pPr>
        <w:shd w:val="clear" w:color="auto" w:fill="FFFFFF"/>
        <w:spacing w:before="120" w:after="240"/>
        <w:rPr>
          <w:rFonts w:asciiTheme="minorHAnsi" w:hAnsiTheme="minorHAnsi" w:cstheme="minorHAnsi"/>
          <w:color w:val="430098"/>
          <w:sz w:val="28"/>
          <w:szCs w:val="28"/>
        </w:rPr>
      </w:pPr>
      <w:r w:rsidRPr="000675FB">
        <w:rPr>
          <w:rFonts w:asciiTheme="minorHAnsi" w:hAnsiTheme="minorHAnsi" w:cstheme="minorHAnsi"/>
          <w:color w:val="430098"/>
          <w:sz w:val="28"/>
          <w:szCs w:val="28"/>
        </w:rPr>
        <w:t>Disclaimer</w:t>
      </w:r>
    </w:p>
    <w:p w14:paraId="51FAFADF" w14:textId="068273DA" w:rsidR="007F4F9A" w:rsidRPr="00564324" w:rsidRDefault="007B041D" w:rsidP="0025647B">
      <w:pPr>
        <w:pStyle w:val="Body"/>
      </w:pPr>
      <w:r w:rsidRPr="00564324">
        <w:t>This case note is general in nature and does not constitute legal advice.</w:t>
      </w:r>
    </w:p>
    <w:p w14:paraId="3C28758F" w14:textId="77777777" w:rsidR="007B041D" w:rsidRPr="00BA681B" w:rsidRDefault="007B041D" w:rsidP="007B041D">
      <w:pPr>
        <w:keepNext/>
        <w:keepLines/>
        <w:pBdr>
          <w:top w:val="single" w:sz="4" w:space="6" w:color="430098"/>
        </w:pBdr>
        <w:spacing w:before="120" w:after="240"/>
        <w:outlineLvl w:val="0"/>
        <w:rPr>
          <w:rFonts w:asciiTheme="minorHAnsi" w:hAnsiTheme="minorHAnsi" w:cstheme="minorHAnsi"/>
          <w:color w:val="430098"/>
          <w:szCs w:val="26"/>
          <w:lang w:val="en-AU"/>
        </w:rPr>
      </w:pPr>
      <w:r w:rsidRPr="00BA681B">
        <w:rPr>
          <w:rFonts w:asciiTheme="minorHAnsi" w:hAnsiTheme="minorHAnsi" w:cstheme="minorHAnsi"/>
          <w:color w:val="430098"/>
          <w:szCs w:val="26"/>
          <w:lang w:val="en-AU"/>
        </w:rPr>
        <w:t>Further Information</w:t>
      </w:r>
    </w:p>
    <w:p w14:paraId="7732B514" w14:textId="77777777" w:rsidR="007B041D" w:rsidRPr="00BA681B" w:rsidRDefault="007B041D" w:rsidP="007B041D">
      <w:pPr>
        <w:keepNext/>
        <w:keepLines/>
        <w:pBdr>
          <w:top w:val="single" w:sz="4" w:space="6" w:color="430098"/>
        </w:pBdr>
        <w:spacing w:before="120" w:after="240"/>
        <w:outlineLvl w:val="0"/>
        <w:rPr>
          <w:rFonts w:asciiTheme="minorHAnsi" w:hAnsiTheme="minorHAnsi" w:cstheme="minorHAnsi"/>
          <w:color w:val="430098"/>
          <w:szCs w:val="26"/>
          <w:lang w:val="en-AU"/>
        </w:rPr>
        <w:sectPr w:rsidR="007B041D" w:rsidRPr="00BA681B" w:rsidSect="007B041D">
          <w:footerReference w:type="default" r:id="rId9"/>
          <w:headerReference w:type="first" r:id="rId10"/>
          <w:pgSz w:w="11900" w:h="16840"/>
          <w:pgMar w:top="896" w:right="1134" w:bottom="709" w:left="1134" w:header="510" w:footer="510" w:gutter="0"/>
          <w:cols w:space="720"/>
          <w:titlePg/>
          <w:docGrid w:linePitch="360"/>
        </w:sectPr>
      </w:pPr>
    </w:p>
    <w:p w14:paraId="09795C11" w14:textId="1B763179" w:rsidR="00D01435" w:rsidRDefault="007B041D" w:rsidP="00D42B9B">
      <w:pPr>
        <w:pStyle w:val="Disclaimer"/>
        <w:spacing w:before="120" w:after="240"/>
      </w:pPr>
      <w:r w:rsidRPr="00BA681B">
        <w:rPr>
          <w:rFonts w:asciiTheme="minorHAnsi" w:hAnsiTheme="minorHAnsi" w:cstheme="minorHAnsi"/>
          <w:b/>
          <w:color w:val="430098"/>
          <w:sz w:val="16"/>
          <w:szCs w:val="16"/>
          <w:lang w:val="en-AU"/>
        </w:rPr>
        <w:t>t:</w:t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tab/>
        <w:t xml:space="preserve">1300 00 6842 </w:t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br/>
      </w:r>
      <w:r w:rsidRPr="00BA681B">
        <w:rPr>
          <w:rFonts w:asciiTheme="minorHAnsi" w:hAnsiTheme="minorHAnsi" w:cstheme="minorHAnsi"/>
          <w:b/>
          <w:color w:val="430098"/>
          <w:sz w:val="16"/>
          <w:szCs w:val="16"/>
          <w:lang w:val="en-AU"/>
        </w:rPr>
        <w:t>e:</w:t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tab/>
        <w:t>enquiries@ovic.vic.gov.au</w:t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br/>
      </w:r>
      <w:r w:rsidRPr="00BA681B">
        <w:rPr>
          <w:rFonts w:asciiTheme="minorHAnsi" w:hAnsiTheme="minorHAnsi" w:cstheme="minorHAnsi"/>
          <w:b/>
          <w:color w:val="430098"/>
          <w:sz w:val="16"/>
          <w:szCs w:val="16"/>
          <w:lang w:val="en-AU"/>
        </w:rPr>
        <w:t>w:</w:t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tab/>
        <w:t>ovic.vic.gov.au</w:t>
      </w:r>
      <w:r w:rsidRPr="00BA681B">
        <w:rPr>
          <w:rFonts w:asciiTheme="minorHAnsi" w:hAnsiTheme="minorHAnsi" w:cstheme="minorHAnsi"/>
          <w:b/>
          <w:sz w:val="16"/>
          <w:szCs w:val="16"/>
          <w:lang w:val="en-AU"/>
        </w:rPr>
        <w:t xml:space="preserve"> </w:t>
      </w:r>
      <w:r w:rsidRPr="00BA681B">
        <w:rPr>
          <w:rFonts w:asciiTheme="minorHAnsi" w:hAnsiTheme="minorHAnsi" w:cstheme="minorHAnsi"/>
          <w:b/>
          <w:sz w:val="16"/>
          <w:szCs w:val="16"/>
          <w:lang w:val="en-AU"/>
        </w:rPr>
        <w:br w:type="column"/>
      </w:r>
      <w:r w:rsidRPr="00BA681B">
        <w:rPr>
          <w:rFonts w:asciiTheme="minorHAnsi" w:hAnsiTheme="minorHAnsi" w:cstheme="minorHAnsi"/>
          <w:sz w:val="16"/>
          <w:szCs w:val="16"/>
          <w:lang w:val="en-AU"/>
        </w:rPr>
        <w:t>This case note is general in nature and does not constitute legal advice.</w:t>
      </w:r>
    </w:p>
    <w:sectPr w:rsidR="00D01435" w:rsidSect="00BA008A">
      <w:headerReference w:type="first" r:id="rId11"/>
      <w:footerReference w:type="first" r:id="rId12"/>
      <w:type w:val="continuous"/>
      <w:pgSz w:w="11900" w:h="16840"/>
      <w:pgMar w:top="1134" w:right="1134" w:bottom="1134" w:left="1134" w:header="1134" w:footer="113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1E6A" w14:textId="77777777" w:rsidR="00794372" w:rsidRDefault="00794372" w:rsidP="007B041D">
      <w:r>
        <w:separator/>
      </w:r>
    </w:p>
  </w:endnote>
  <w:endnote w:type="continuationSeparator" w:id="0">
    <w:p w14:paraId="77A6ED41" w14:textId="77777777" w:rsidR="00794372" w:rsidRDefault="00794372" w:rsidP="007B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8C4E" w14:textId="77777777" w:rsidR="00E26F8B" w:rsidRPr="003B6B6A" w:rsidRDefault="00FF03FD" w:rsidP="00BA008A">
    <w:pPr>
      <w:tabs>
        <w:tab w:val="center" w:pos="4513"/>
        <w:tab w:val="right" w:pos="9639"/>
      </w:tabs>
      <w:spacing w:before="120"/>
      <w:rPr>
        <w:color w:val="430098"/>
        <w:sz w:val="22"/>
      </w:rPr>
    </w:pPr>
    <w:r w:rsidRPr="00065C95">
      <w:rPr>
        <w:rFonts w:cs="Arial"/>
        <w:color w:val="430098"/>
        <w:sz w:val="20"/>
      </w:rPr>
      <w:t xml:space="preserve">Freedom of Information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Privacy </w:t>
    </w:r>
    <w:r w:rsidRPr="00065C95">
      <w:rPr>
        <w:rFonts w:cs="Arial"/>
        <w:color w:val="E5007D"/>
        <w:sz w:val="20"/>
      </w:rPr>
      <w:t>|</w:t>
    </w:r>
    <w:r w:rsidRPr="00065C95">
      <w:rPr>
        <w:rFonts w:cs="Arial"/>
        <w:color w:val="430098"/>
        <w:sz w:val="20"/>
      </w:rPr>
      <w:t xml:space="preserve"> Data Protection</w:t>
    </w:r>
    <w:r>
      <w:rPr>
        <w:rFonts w:cs="Arial"/>
        <w:color w:val="430098"/>
        <w:sz w:val="20"/>
      </w:rPr>
      <w:tab/>
    </w:r>
    <w:r>
      <w:rPr>
        <w:rFonts w:cs="Arial"/>
        <w:color w:val="430098"/>
        <w:sz w:val="20"/>
      </w:rPr>
      <w:tab/>
    </w:r>
    <w:r w:rsidRPr="00065C95">
      <w:rPr>
        <w:rFonts w:cs="Arial"/>
        <w:color w:val="430098"/>
        <w:sz w:val="20"/>
      </w:rPr>
      <w:fldChar w:fldCharType="begin"/>
    </w:r>
    <w:r w:rsidRPr="00065C95">
      <w:rPr>
        <w:rFonts w:cs="Arial"/>
        <w:color w:val="430098"/>
        <w:sz w:val="20"/>
      </w:rPr>
      <w:instrText xml:space="preserve"> PAGE   \* MERGEFORMAT </w:instrText>
    </w:r>
    <w:r w:rsidRPr="00065C95">
      <w:rPr>
        <w:rFonts w:cs="Arial"/>
        <w:color w:val="430098"/>
        <w:sz w:val="20"/>
      </w:rPr>
      <w:fldChar w:fldCharType="separate"/>
    </w:r>
    <w:r>
      <w:rPr>
        <w:rFonts w:cs="Arial"/>
        <w:noProof/>
        <w:color w:val="430098"/>
        <w:sz w:val="20"/>
      </w:rPr>
      <w:t>2</w:t>
    </w:r>
    <w:r w:rsidRPr="00065C95">
      <w:rPr>
        <w:rFonts w:cs="Arial"/>
        <w:color w:val="43009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D790" w14:textId="77777777" w:rsidR="00E26F8B" w:rsidRDefault="00FF03FD" w:rsidP="00BA008A">
    <w:pPr>
      <w:pStyle w:val="Footer"/>
    </w:pPr>
    <w:r w:rsidRPr="00B60B75">
      <w:t xml:space="preserve">Freedom of Information </w:t>
    </w:r>
    <w:r w:rsidRPr="0070388B">
      <w:rPr>
        <w:color w:val="E5007D"/>
      </w:rPr>
      <w:t>|</w:t>
    </w:r>
    <w:r w:rsidRPr="00B60B75">
      <w:t xml:space="preserve"> Privacy</w:t>
    </w:r>
    <w:r w:rsidRPr="0070388B">
      <w:rPr>
        <w:color w:val="E5007D"/>
      </w:rPr>
      <w:t xml:space="preserve"> | </w:t>
    </w:r>
    <w:r w:rsidRPr="008D16A7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4B92" w14:textId="77777777" w:rsidR="00794372" w:rsidRDefault="00794372" w:rsidP="007B041D">
      <w:r>
        <w:separator/>
      </w:r>
    </w:p>
  </w:footnote>
  <w:footnote w:type="continuationSeparator" w:id="0">
    <w:p w14:paraId="275995A2" w14:textId="77777777" w:rsidR="00794372" w:rsidRDefault="00794372" w:rsidP="007B041D">
      <w:r>
        <w:continuationSeparator/>
      </w:r>
    </w:p>
  </w:footnote>
  <w:footnote w:id="1">
    <w:p w14:paraId="3DE465EE" w14:textId="149ABCD2" w:rsidR="00242AFE" w:rsidRPr="000212BE" w:rsidRDefault="00242AFE">
      <w:pPr>
        <w:pStyle w:val="FootnoteText"/>
        <w:rPr>
          <w:sz w:val="18"/>
          <w:szCs w:val="18"/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en-AU"/>
        </w:rPr>
        <w:t>[2005] VCAT 1054 [4]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8953" w14:textId="77777777" w:rsidR="00E26F8B" w:rsidRPr="00D70A8A" w:rsidRDefault="00FF03FD" w:rsidP="009B4FB5">
    <w:pPr>
      <w:pStyle w:val="Header"/>
      <w:tabs>
        <w:tab w:val="clear" w:pos="4513"/>
        <w:tab w:val="clear" w:pos="9026"/>
        <w:tab w:val="left" w:pos="6946"/>
      </w:tabs>
      <w:spacing w:after="180"/>
      <w:jc w:val="right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CF0D396" wp14:editId="2DF1FB8F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27" name="Picture 27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A8A">
      <w:rPr>
        <w:color w:val="7F7F7F"/>
        <w:sz w:val="26"/>
        <w:szCs w:val="26"/>
      </w:rPr>
      <w:br/>
    </w:r>
    <w:r w:rsidRPr="00D70A8A">
      <w:rPr>
        <w:color w:val="7F7F7F"/>
        <w:sz w:val="26"/>
        <w:szCs w:val="26"/>
      </w:rPr>
      <w:tab/>
    </w:r>
    <w:r>
      <w:rPr>
        <w:color w:val="430098"/>
        <w:sz w:val="26"/>
        <w:szCs w:val="26"/>
      </w:rPr>
      <w:t>CASE NOTE</w:t>
    </w:r>
  </w:p>
  <w:p w14:paraId="56A42DB6" w14:textId="77777777" w:rsidR="00E26F8B" w:rsidRDefault="00FF03FD" w:rsidP="005954DF">
    <w:pPr>
      <w:pStyle w:val="Header"/>
      <w:tabs>
        <w:tab w:val="clear" w:pos="4513"/>
        <w:tab w:val="left" w:pos="6946"/>
      </w:tabs>
      <w:spacing w:after="60"/>
      <w:jc w:val="right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74C5D2A" wp14:editId="079EE14A">
          <wp:simplePos x="0" y="0"/>
          <wp:positionH relativeFrom="margin">
            <wp:align>left</wp:align>
          </wp:positionH>
          <wp:positionV relativeFrom="paragraph">
            <wp:posOffset>277661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28" name="Picture 28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737A82FE" w14:textId="51EC6B89" w:rsidR="00E26F8B" w:rsidRPr="00956C57" w:rsidRDefault="009A231F" w:rsidP="00362F36">
    <w:pPr>
      <w:pStyle w:val="DocumentTitle"/>
      <w:spacing w:before="0"/>
      <w:rPr>
        <w:color w:val="555559"/>
        <w:sz w:val="30"/>
        <w:szCs w:val="30"/>
      </w:rPr>
    </w:pPr>
    <w:r>
      <w:rPr>
        <w:rFonts w:ascii="Calibri" w:hAnsi="Calibri"/>
        <w:bCs/>
        <w:sz w:val="36"/>
        <w:szCs w:val="36"/>
        <w:lang w:val="en"/>
      </w:rPr>
      <w:t>Tucker v State Revenue Office (Human Rights) [2020] VCAT 53 (17 January 2020)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7CDE" w14:textId="77777777" w:rsidR="00E26F8B" w:rsidRPr="0070388B" w:rsidRDefault="005D5939" w:rsidP="00BA008A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870"/>
    <w:multiLevelType w:val="hybridMultilevel"/>
    <w:tmpl w:val="ECAC2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B83"/>
    <w:multiLevelType w:val="multilevel"/>
    <w:tmpl w:val="8696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D37E3"/>
    <w:multiLevelType w:val="multilevel"/>
    <w:tmpl w:val="877A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65AAE"/>
    <w:multiLevelType w:val="hybridMultilevel"/>
    <w:tmpl w:val="1534D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C84"/>
    <w:multiLevelType w:val="multilevel"/>
    <w:tmpl w:val="8696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B1F73"/>
    <w:multiLevelType w:val="hybridMultilevel"/>
    <w:tmpl w:val="48E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4009"/>
    <w:multiLevelType w:val="hybridMultilevel"/>
    <w:tmpl w:val="BDBAF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B4C37"/>
    <w:multiLevelType w:val="hybridMultilevel"/>
    <w:tmpl w:val="282A55C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vk2Ou4uN0lLgn1aL6rLhx+a/sgQEC4qP9Z/pnUxG0PuDN23eHVC+LBDcGb3y4aqL7fTOmSGQzfA9VUr0VcnA==" w:salt="OmcRrziPcARcOEjx1He1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1D"/>
    <w:rsid w:val="00014DE4"/>
    <w:rsid w:val="000212BE"/>
    <w:rsid w:val="00050A70"/>
    <w:rsid w:val="0008115F"/>
    <w:rsid w:val="000B2AE6"/>
    <w:rsid w:val="000C2919"/>
    <w:rsid w:val="00112790"/>
    <w:rsid w:val="00156EFA"/>
    <w:rsid w:val="00185AE1"/>
    <w:rsid w:val="001901B5"/>
    <w:rsid w:val="00194190"/>
    <w:rsid w:val="001C4E1C"/>
    <w:rsid w:val="001D1078"/>
    <w:rsid w:val="001F0FDC"/>
    <w:rsid w:val="00225EA8"/>
    <w:rsid w:val="002357EA"/>
    <w:rsid w:val="002373BD"/>
    <w:rsid w:val="00242AFE"/>
    <w:rsid w:val="0025647B"/>
    <w:rsid w:val="0026470F"/>
    <w:rsid w:val="002C3B5E"/>
    <w:rsid w:val="002D7D26"/>
    <w:rsid w:val="002F55FF"/>
    <w:rsid w:val="00312949"/>
    <w:rsid w:val="00337951"/>
    <w:rsid w:val="00392A90"/>
    <w:rsid w:val="003A111E"/>
    <w:rsid w:val="003B194A"/>
    <w:rsid w:val="003F09B7"/>
    <w:rsid w:val="00410165"/>
    <w:rsid w:val="004149A3"/>
    <w:rsid w:val="004B7F48"/>
    <w:rsid w:val="004D663A"/>
    <w:rsid w:val="00507A8F"/>
    <w:rsid w:val="00512635"/>
    <w:rsid w:val="00516932"/>
    <w:rsid w:val="0052435B"/>
    <w:rsid w:val="00564324"/>
    <w:rsid w:val="005915F9"/>
    <w:rsid w:val="005C617F"/>
    <w:rsid w:val="005D5939"/>
    <w:rsid w:val="00616ACF"/>
    <w:rsid w:val="00671CA5"/>
    <w:rsid w:val="006875BC"/>
    <w:rsid w:val="007316FC"/>
    <w:rsid w:val="00732027"/>
    <w:rsid w:val="00760AE2"/>
    <w:rsid w:val="00794372"/>
    <w:rsid w:val="007B041D"/>
    <w:rsid w:val="007B455E"/>
    <w:rsid w:val="007B5A16"/>
    <w:rsid w:val="007B5D31"/>
    <w:rsid w:val="007C7107"/>
    <w:rsid w:val="007D05AA"/>
    <w:rsid w:val="007D742B"/>
    <w:rsid w:val="007E67AC"/>
    <w:rsid w:val="007F4F9A"/>
    <w:rsid w:val="007F647F"/>
    <w:rsid w:val="00804D1B"/>
    <w:rsid w:val="0081687B"/>
    <w:rsid w:val="008176D7"/>
    <w:rsid w:val="00871911"/>
    <w:rsid w:val="00891406"/>
    <w:rsid w:val="008A5357"/>
    <w:rsid w:val="008B3FD0"/>
    <w:rsid w:val="008C0586"/>
    <w:rsid w:val="008E1F3A"/>
    <w:rsid w:val="008F4544"/>
    <w:rsid w:val="00911CD7"/>
    <w:rsid w:val="009170B8"/>
    <w:rsid w:val="009414FF"/>
    <w:rsid w:val="00942B19"/>
    <w:rsid w:val="00957554"/>
    <w:rsid w:val="009A231F"/>
    <w:rsid w:val="009A4E39"/>
    <w:rsid w:val="00A11663"/>
    <w:rsid w:val="00A25522"/>
    <w:rsid w:val="00A44B24"/>
    <w:rsid w:val="00AD2293"/>
    <w:rsid w:val="00AD540D"/>
    <w:rsid w:val="00B16EB6"/>
    <w:rsid w:val="00B224A3"/>
    <w:rsid w:val="00B62B2D"/>
    <w:rsid w:val="00BB0CEE"/>
    <w:rsid w:val="00BE0C45"/>
    <w:rsid w:val="00C026CB"/>
    <w:rsid w:val="00C32F27"/>
    <w:rsid w:val="00CC7F40"/>
    <w:rsid w:val="00CD3B71"/>
    <w:rsid w:val="00CD59DA"/>
    <w:rsid w:val="00CE5447"/>
    <w:rsid w:val="00D01435"/>
    <w:rsid w:val="00D271F9"/>
    <w:rsid w:val="00D273E3"/>
    <w:rsid w:val="00D42B9B"/>
    <w:rsid w:val="00D4615B"/>
    <w:rsid w:val="00D540F9"/>
    <w:rsid w:val="00D66D78"/>
    <w:rsid w:val="00D74404"/>
    <w:rsid w:val="00D74C48"/>
    <w:rsid w:val="00D755EA"/>
    <w:rsid w:val="00DC34BC"/>
    <w:rsid w:val="00E01C1C"/>
    <w:rsid w:val="00E5725C"/>
    <w:rsid w:val="00EC0EE4"/>
    <w:rsid w:val="00F57055"/>
    <w:rsid w:val="00F820D4"/>
    <w:rsid w:val="00FD2C40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3BCB"/>
  <w15:chartTrackingRefBased/>
  <w15:docId w15:val="{DFC9F88A-57D0-4AED-AA07-A60CD78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1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B04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B041D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4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B041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B0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1D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041D"/>
    <w:pPr>
      <w:tabs>
        <w:tab w:val="center" w:pos="4513"/>
        <w:tab w:val="right" w:pos="9026"/>
      </w:tabs>
      <w:spacing w:before="240"/>
    </w:pPr>
    <w:rPr>
      <w:color w:val="430098"/>
    </w:rPr>
  </w:style>
  <w:style w:type="character" w:customStyle="1" w:styleId="FooterChar">
    <w:name w:val="Footer Char"/>
    <w:basedOn w:val="DefaultParagraphFont"/>
    <w:link w:val="Footer"/>
    <w:uiPriority w:val="99"/>
    <w:rsid w:val="007B041D"/>
    <w:rPr>
      <w:rFonts w:ascii="Calibri" w:eastAsia="Calibri" w:hAnsi="Calibri" w:cs="Times New Roman"/>
      <w:color w:val="430098"/>
      <w:sz w:val="24"/>
      <w:szCs w:val="24"/>
      <w:lang w:val="en-GB"/>
    </w:rPr>
  </w:style>
  <w:style w:type="paragraph" w:customStyle="1" w:styleId="Body">
    <w:name w:val="Body"/>
    <w:basedOn w:val="Normal"/>
    <w:qFormat/>
    <w:rsid w:val="007B041D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cs="PostGrotesk-Book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7B041D"/>
    <w:pPr>
      <w:ind w:right="-7"/>
    </w:pPr>
    <w:rPr>
      <w:rFonts w:cs="PostGrotesk-Book"/>
      <w:color w:val="55565A"/>
      <w:sz w:val="18"/>
      <w:szCs w:val="18"/>
    </w:rPr>
  </w:style>
  <w:style w:type="paragraph" w:customStyle="1" w:styleId="DocumentTitle">
    <w:name w:val="Document Title"/>
    <w:basedOn w:val="Header"/>
    <w:qFormat/>
    <w:rsid w:val="007B041D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character" w:styleId="Hyperlink">
    <w:name w:val="Hyperlink"/>
    <w:uiPriority w:val="99"/>
    <w:unhideWhenUsed/>
    <w:rsid w:val="007B04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041D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7B04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40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4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D2C40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40"/>
    <w:rPr>
      <w:rFonts w:ascii="Segoe UI" w:eastAsia="Calibr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75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F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austlii.edu.au/cgi-bin/viewdoc/au/cases/vic/VCAT/2020/53.html?context=1;query=%22privacy%20and%20data%20protection%20act%22;mask_path=au/cases/vic/V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78F1-DD5B-4346-8A21-C631C038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6271</Characters>
  <Application>Microsoft Office Word</Application>
  <DocSecurity>12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Cathro</dc:creator>
  <cp:keywords/>
  <dc:description/>
  <cp:lastModifiedBy>Jessica Brackin</cp:lastModifiedBy>
  <cp:revision>2</cp:revision>
  <dcterms:created xsi:type="dcterms:W3CDTF">2020-02-14T07:07:00Z</dcterms:created>
  <dcterms:modified xsi:type="dcterms:W3CDTF">2020-02-14T07:07:00Z</dcterms:modified>
</cp:coreProperties>
</file>