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2D50" w14:textId="23E9FAD5" w:rsidR="007B4F0A" w:rsidRDefault="00A35223" w:rsidP="00BE5A4A">
      <w:pPr>
        <w:pStyle w:val="SectionHeading1"/>
        <w:widowControl/>
        <w:spacing w:line="240" w:lineRule="auto"/>
        <w:rPr>
          <w:rFonts w:cs="PostGrotesk-Book"/>
          <w:bCs/>
          <w:color w:val="55565A"/>
          <w:sz w:val="22"/>
          <w:szCs w:val="22"/>
          <w:lang w:val="en-AU"/>
        </w:rPr>
      </w:pPr>
      <w:r>
        <w:fldChar w:fldCharType="begin"/>
      </w:r>
      <w:r>
        <w:instrText xml:space="preserve"> HYPERLINK "https://www.austlii.edu.au/cgi-bin/viewdoc/au/cases/vic/VCAT/2019/1878.html?context=1;query=%22review%20and%20regulation%20list%22;mask_path=au/cases/vic/VCAT" </w:instrText>
      </w:r>
      <w:r>
        <w:fldChar w:fldCharType="separate"/>
      </w:r>
      <w:r w:rsidR="00BA620B" w:rsidRPr="001C4D9F">
        <w:rPr>
          <w:rStyle w:val="Hyperlink"/>
          <w:rFonts w:cs="PostGrotesk-Book"/>
          <w:bCs/>
          <w:sz w:val="22"/>
          <w:szCs w:val="22"/>
          <w:lang w:val="en-AU"/>
        </w:rPr>
        <w:t>This decision</w:t>
      </w:r>
      <w:r>
        <w:rPr>
          <w:rStyle w:val="Hyperlink"/>
          <w:rFonts w:cs="PostGrotesk-Book"/>
          <w:bCs/>
          <w:sz w:val="22"/>
          <w:szCs w:val="22"/>
          <w:lang w:val="en-AU"/>
        </w:rPr>
        <w:fldChar w:fldCharType="end"/>
      </w:r>
      <w:r w:rsidR="00BA620B">
        <w:rPr>
          <w:rFonts w:cs="PostGrotesk-Book"/>
          <w:bCs/>
          <w:color w:val="55565A"/>
          <w:sz w:val="22"/>
          <w:szCs w:val="22"/>
          <w:lang w:val="en-AU"/>
        </w:rPr>
        <w:t xml:space="preserve"> </w:t>
      </w:r>
      <w:r w:rsidR="00150F16">
        <w:rPr>
          <w:rFonts w:cs="PostGrotesk-Book"/>
          <w:bCs/>
          <w:color w:val="55565A"/>
          <w:sz w:val="22"/>
          <w:szCs w:val="22"/>
          <w:lang w:val="en-AU"/>
        </w:rPr>
        <w:t>illustrates</w:t>
      </w:r>
      <w:r w:rsidR="00A4730B">
        <w:rPr>
          <w:rFonts w:cs="PostGrotesk-Book"/>
          <w:bCs/>
          <w:color w:val="55565A"/>
          <w:sz w:val="22"/>
          <w:szCs w:val="22"/>
          <w:lang w:val="en-AU"/>
        </w:rPr>
        <w:t xml:space="preserve"> the “heavy burden” facing agencies seek</w:t>
      </w:r>
      <w:r w:rsidR="00150F16">
        <w:rPr>
          <w:rFonts w:cs="PostGrotesk-Book"/>
          <w:bCs/>
          <w:color w:val="55565A"/>
          <w:sz w:val="22"/>
          <w:szCs w:val="22"/>
          <w:lang w:val="en-AU"/>
        </w:rPr>
        <w:t>ing</w:t>
      </w:r>
      <w:r w:rsidR="00A4730B">
        <w:rPr>
          <w:rFonts w:cs="PostGrotesk-Book"/>
          <w:bCs/>
          <w:color w:val="55565A"/>
          <w:sz w:val="22"/>
          <w:szCs w:val="22"/>
          <w:lang w:val="en-AU"/>
        </w:rPr>
        <w:t xml:space="preserve"> to rely on section 25</w:t>
      </w:r>
      <w:proofErr w:type="gramStart"/>
      <w:r w:rsidR="00A4730B">
        <w:rPr>
          <w:rFonts w:cs="PostGrotesk-Book"/>
          <w:bCs/>
          <w:color w:val="55565A"/>
          <w:sz w:val="22"/>
          <w:szCs w:val="22"/>
          <w:lang w:val="en-AU"/>
        </w:rPr>
        <w:t>A(</w:t>
      </w:r>
      <w:proofErr w:type="gramEnd"/>
      <w:r w:rsidR="007D76D7">
        <w:rPr>
          <w:rFonts w:cs="PostGrotesk-Book"/>
          <w:bCs/>
          <w:color w:val="55565A"/>
          <w:sz w:val="22"/>
          <w:szCs w:val="22"/>
          <w:lang w:val="en-AU"/>
        </w:rPr>
        <w:t>5)</w:t>
      </w:r>
      <w:r w:rsidR="00CA56FD">
        <w:rPr>
          <w:rFonts w:cs="PostGrotesk-Book"/>
          <w:bCs/>
          <w:color w:val="55565A"/>
          <w:sz w:val="22"/>
          <w:szCs w:val="22"/>
          <w:lang w:val="en-AU"/>
        </w:rPr>
        <w:t xml:space="preserve"> to claim it is apparent from the nature of the documents as described in the request that they are all exempt</w:t>
      </w:r>
      <w:r w:rsidR="007D76D7">
        <w:rPr>
          <w:rFonts w:cs="PostGrotesk-Book"/>
          <w:bCs/>
          <w:color w:val="55565A"/>
          <w:sz w:val="22"/>
          <w:szCs w:val="22"/>
          <w:lang w:val="en-AU"/>
        </w:rPr>
        <w:t>. In particular:</w:t>
      </w:r>
      <w:bookmarkStart w:id="0" w:name="_GoBack"/>
      <w:bookmarkEnd w:id="0"/>
    </w:p>
    <w:p w14:paraId="32523D37" w14:textId="0A8CA093" w:rsidR="007D76D7" w:rsidRDefault="00990D53" w:rsidP="00BE5A4A">
      <w:pPr>
        <w:pStyle w:val="SectionHeading1"/>
        <w:widowControl/>
        <w:numPr>
          <w:ilvl w:val="0"/>
          <w:numId w:val="29"/>
        </w:numPr>
        <w:spacing w:after="80" w:line="240" w:lineRule="auto"/>
        <w:ind w:left="357" w:hanging="357"/>
        <w:rPr>
          <w:rFonts w:cs="PostGrotesk-Book"/>
          <w:bCs/>
          <w:color w:val="55565A"/>
          <w:sz w:val="22"/>
          <w:szCs w:val="22"/>
          <w:lang w:val="en-AU"/>
        </w:rPr>
      </w:pPr>
      <w:r>
        <w:rPr>
          <w:rFonts w:cs="PostGrotesk-Book"/>
          <w:bCs/>
          <w:color w:val="55565A"/>
          <w:sz w:val="22"/>
          <w:szCs w:val="22"/>
          <w:lang w:val="en-AU"/>
        </w:rPr>
        <w:t xml:space="preserve">When relying on the section 38 </w:t>
      </w:r>
      <w:r w:rsidR="00150F16">
        <w:rPr>
          <w:rFonts w:cs="PostGrotesk-Book"/>
          <w:bCs/>
          <w:color w:val="55565A"/>
          <w:sz w:val="22"/>
          <w:szCs w:val="22"/>
          <w:lang w:val="en-AU"/>
        </w:rPr>
        <w:t xml:space="preserve">(secrecy) </w:t>
      </w:r>
      <w:r>
        <w:rPr>
          <w:rFonts w:cs="PostGrotesk-Book"/>
          <w:bCs/>
          <w:color w:val="55565A"/>
          <w:sz w:val="22"/>
          <w:szCs w:val="22"/>
          <w:lang w:val="en-AU"/>
        </w:rPr>
        <w:t>exemption, ensure th</w:t>
      </w:r>
      <w:r w:rsidR="00975505">
        <w:rPr>
          <w:rFonts w:cs="PostGrotesk-Book"/>
          <w:bCs/>
          <w:color w:val="55565A"/>
          <w:sz w:val="22"/>
          <w:szCs w:val="22"/>
          <w:lang w:val="en-AU"/>
        </w:rPr>
        <w:t>at there are no exceptions in the underlying secrecy provision where edited information could be released.</w:t>
      </w:r>
    </w:p>
    <w:p w14:paraId="3BEE71F1" w14:textId="5E4CFDE4" w:rsidR="00990D53" w:rsidRDefault="00990D53" w:rsidP="00BE5A4A">
      <w:pPr>
        <w:pStyle w:val="SectionHeading1"/>
        <w:widowControl/>
        <w:numPr>
          <w:ilvl w:val="0"/>
          <w:numId w:val="29"/>
        </w:numPr>
        <w:spacing w:after="80" w:line="240" w:lineRule="auto"/>
        <w:ind w:left="357" w:hanging="357"/>
        <w:rPr>
          <w:rFonts w:cs="PostGrotesk-Book"/>
          <w:bCs/>
          <w:color w:val="55565A"/>
          <w:sz w:val="22"/>
          <w:szCs w:val="22"/>
          <w:lang w:val="en-AU"/>
        </w:rPr>
      </w:pPr>
      <w:r>
        <w:rPr>
          <w:rFonts w:cs="PostGrotesk-Book"/>
          <w:bCs/>
          <w:color w:val="55565A"/>
          <w:sz w:val="22"/>
          <w:szCs w:val="22"/>
          <w:lang w:val="en-AU"/>
        </w:rPr>
        <w:t xml:space="preserve">When relying on the section 30 </w:t>
      </w:r>
      <w:r w:rsidR="00150F16">
        <w:rPr>
          <w:rFonts w:cs="PostGrotesk-Book"/>
          <w:bCs/>
          <w:color w:val="55565A"/>
          <w:sz w:val="22"/>
          <w:szCs w:val="22"/>
          <w:lang w:val="en-AU"/>
        </w:rPr>
        <w:t xml:space="preserve">(internal working documents) </w:t>
      </w:r>
      <w:r>
        <w:rPr>
          <w:rFonts w:cs="PostGrotesk-Book"/>
          <w:bCs/>
          <w:color w:val="55565A"/>
          <w:sz w:val="22"/>
          <w:szCs w:val="22"/>
          <w:lang w:val="en-AU"/>
        </w:rPr>
        <w:t xml:space="preserve">exemption, make sure that there is no purely factual material that can </w:t>
      </w:r>
      <w:r w:rsidR="00150F16">
        <w:rPr>
          <w:rFonts w:cs="PostGrotesk-Book"/>
          <w:bCs/>
          <w:color w:val="55565A"/>
          <w:sz w:val="22"/>
          <w:szCs w:val="22"/>
          <w:lang w:val="en-AU"/>
        </w:rPr>
        <w:t xml:space="preserve">be </w:t>
      </w:r>
      <w:r w:rsidR="00975505">
        <w:rPr>
          <w:rFonts w:cs="PostGrotesk-Book"/>
          <w:bCs/>
          <w:color w:val="55565A"/>
          <w:sz w:val="22"/>
          <w:szCs w:val="22"/>
          <w:lang w:val="en-AU"/>
        </w:rPr>
        <w:t xml:space="preserve">released </w:t>
      </w:r>
      <w:r w:rsidR="00150F16">
        <w:rPr>
          <w:rFonts w:cs="PostGrotesk-Book"/>
          <w:bCs/>
          <w:color w:val="55565A"/>
          <w:sz w:val="22"/>
          <w:szCs w:val="22"/>
          <w:lang w:val="en-AU"/>
        </w:rPr>
        <w:t xml:space="preserve">in an </w:t>
      </w:r>
      <w:r w:rsidR="00975505">
        <w:rPr>
          <w:rFonts w:cs="PostGrotesk-Book"/>
          <w:bCs/>
          <w:color w:val="55565A"/>
          <w:sz w:val="22"/>
          <w:szCs w:val="22"/>
          <w:lang w:val="en-AU"/>
        </w:rPr>
        <w:t>edit</w:t>
      </w:r>
      <w:r w:rsidR="00150F16">
        <w:rPr>
          <w:rFonts w:cs="PostGrotesk-Book"/>
          <w:bCs/>
          <w:color w:val="55565A"/>
          <w:sz w:val="22"/>
          <w:szCs w:val="22"/>
          <w:lang w:val="en-AU"/>
        </w:rPr>
        <w:t xml:space="preserve">ed </w:t>
      </w:r>
      <w:r w:rsidR="00975505">
        <w:rPr>
          <w:rFonts w:cs="PostGrotesk-Book"/>
          <w:bCs/>
          <w:color w:val="55565A"/>
          <w:sz w:val="22"/>
          <w:szCs w:val="22"/>
          <w:lang w:val="en-AU"/>
        </w:rPr>
        <w:t>document</w:t>
      </w:r>
      <w:r>
        <w:rPr>
          <w:rFonts w:cs="PostGrotesk-Book"/>
          <w:bCs/>
          <w:color w:val="55565A"/>
          <w:sz w:val="22"/>
          <w:szCs w:val="22"/>
          <w:lang w:val="en-AU"/>
        </w:rPr>
        <w:t>.</w:t>
      </w:r>
    </w:p>
    <w:p w14:paraId="76FE5780" w14:textId="13A964F9" w:rsidR="009F6B8B" w:rsidRDefault="007D76D7" w:rsidP="00BE5A4A">
      <w:pPr>
        <w:pStyle w:val="SectionHeading1"/>
        <w:widowControl/>
        <w:numPr>
          <w:ilvl w:val="0"/>
          <w:numId w:val="29"/>
        </w:numPr>
        <w:spacing w:after="80" w:line="240" w:lineRule="auto"/>
        <w:ind w:left="357" w:hanging="357"/>
        <w:rPr>
          <w:rFonts w:cs="PostGrotesk-Book"/>
          <w:bCs/>
          <w:color w:val="55565A"/>
          <w:sz w:val="22"/>
          <w:szCs w:val="22"/>
          <w:lang w:val="en-AU"/>
        </w:rPr>
      </w:pPr>
      <w:r>
        <w:rPr>
          <w:rFonts w:cs="PostGrotesk-Book"/>
          <w:bCs/>
          <w:color w:val="55565A"/>
          <w:sz w:val="22"/>
          <w:szCs w:val="22"/>
          <w:lang w:val="en-AU"/>
        </w:rPr>
        <w:t xml:space="preserve">When </w:t>
      </w:r>
      <w:r w:rsidR="007524B6">
        <w:rPr>
          <w:rFonts w:cs="PostGrotesk-Book"/>
          <w:bCs/>
          <w:color w:val="55565A"/>
          <w:sz w:val="22"/>
          <w:szCs w:val="22"/>
          <w:lang w:val="en-AU"/>
        </w:rPr>
        <w:t xml:space="preserve">applying </w:t>
      </w:r>
      <w:r w:rsidR="00990D53">
        <w:rPr>
          <w:rFonts w:cs="PostGrotesk-Book"/>
          <w:bCs/>
          <w:color w:val="55565A"/>
          <w:sz w:val="22"/>
          <w:szCs w:val="22"/>
          <w:lang w:val="en-AU"/>
        </w:rPr>
        <w:t>s</w:t>
      </w:r>
      <w:r w:rsidR="009F6B8B">
        <w:rPr>
          <w:rFonts w:cs="PostGrotesk-Book"/>
          <w:bCs/>
          <w:color w:val="55565A"/>
          <w:sz w:val="22"/>
          <w:szCs w:val="22"/>
          <w:lang w:val="en-AU"/>
        </w:rPr>
        <w:t>ection 25A(5)</w:t>
      </w:r>
      <w:r w:rsidR="007524B6">
        <w:rPr>
          <w:rFonts w:cs="PostGrotesk-Book"/>
          <w:bCs/>
          <w:color w:val="55565A"/>
          <w:sz w:val="22"/>
          <w:szCs w:val="22"/>
          <w:lang w:val="en-AU"/>
        </w:rPr>
        <w:t xml:space="preserve">(b), the Tribunal </w:t>
      </w:r>
      <w:r w:rsidR="00150F16">
        <w:rPr>
          <w:rFonts w:cs="PostGrotesk-Book"/>
          <w:bCs/>
          <w:color w:val="55565A"/>
          <w:sz w:val="22"/>
          <w:szCs w:val="22"/>
          <w:lang w:val="en-AU"/>
        </w:rPr>
        <w:t xml:space="preserve">will receive information up to the hearing about </w:t>
      </w:r>
      <w:r w:rsidR="007524B6">
        <w:rPr>
          <w:rFonts w:cs="PostGrotesk-Book"/>
          <w:bCs/>
          <w:color w:val="55565A"/>
          <w:sz w:val="22"/>
          <w:szCs w:val="22"/>
          <w:lang w:val="en-AU"/>
        </w:rPr>
        <w:t xml:space="preserve">whether the applicant </w:t>
      </w:r>
      <w:r w:rsidR="007524B6">
        <w:rPr>
          <w:rFonts w:cs="PostGrotesk-Book"/>
          <w:bCs/>
          <w:color w:val="55565A"/>
          <w:sz w:val="22"/>
          <w:szCs w:val="22"/>
          <w:u w:val="single"/>
          <w:lang w:val="en-AU"/>
        </w:rPr>
        <w:t>does not</w:t>
      </w:r>
      <w:r w:rsidR="007524B6">
        <w:rPr>
          <w:rFonts w:cs="PostGrotesk-Book"/>
          <w:bCs/>
          <w:color w:val="55565A"/>
          <w:sz w:val="22"/>
          <w:szCs w:val="22"/>
          <w:lang w:val="en-AU"/>
        </w:rPr>
        <w:t xml:space="preserve"> want edited documents</w:t>
      </w:r>
      <w:r w:rsidR="00150F16">
        <w:rPr>
          <w:rFonts w:cs="PostGrotesk-Book"/>
          <w:bCs/>
          <w:color w:val="55565A"/>
          <w:sz w:val="22"/>
          <w:szCs w:val="22"/>
          <w:lang w:val="en-AU"/>
        </w:rPr>
        <w:t xml:space="preserve"> (rather than </w:t>
      </w:r>
      <w:r w:rsidR="002B49F2">
        <w:rPr>
          <w:rFonts w:cs="PostGrotesk-Book"/>
          <w:bCs/>
          <w:color w:val="55565A"/>
          <w:sz w:val="22"/>
          <w:szCs w:val="22"/>
          <w:lang w:val="en-AU"/>
        </w:rPr>
        <w:t xml:space="preserve">asking whether </w:t>
      </w:r>
      <w:r w:rsidR="00150F16">
        <w:rPr>
          <w:rFonts w:cs="PostGrotesk-Book"/>
          <w:bCs/>
          <w:color w:val="55565A"/>
          <w:sz w:val="22"/>
          <w:szCs w:val="22"/>
          <w:lang w:val="en-AU"/>
        </w:rPr>
        <w:t xml:space="preserve">the applicant agrees to </w:t>
      </w:r>
      <w:r w:rsidR="00865645">
        <w:rPr>
          <w:rFonts w:cs="PostGrotesk-Book"/>
          <w:bCs/>
          <w:color w:val="55565A"/>
          <w:sz w:val="22"/>
          <w:szCs w:val="22"/>
          <w:lang w:val="en-AU"/>
        </w:rPr>
        <w:t xml:space="preserve">receive </w:t>
      </w:r>
      <w:r w:rsidR="00150F16">
        <w:rPr>
          <w:rFonts w:cs="PostGrotesk-Book"/>
          <w:bCs/>
          <w:color w:val="55565A"/>
          <w:sz w:val="22"/>
          <w:szCs w:val="22"/>
          <w:lang w:val="en-AU"/>
        </w:rPr>
        <w:t>edited material)</w:t>
      </w:r>
      <w:r w:rsidR="007524B6">
        <w:rPr>
          <w:rFonts w:cs="PostGrotesk-Book"/>
          <w:bCs/>
          <w:color w:val="55565A"/>
          <w:sz w:val="22"/>
          <w:szCs w:val="22"/>
          <w:lang w:val="en-AU"/>
        </w:rPr>
        <w:t>.</w:t>
      </w:r>
    </w:p>
    <w:p w14:paraId="562669A8" w14:textId="630557F3" w:rsidR="00BA7390" w:rsidRPr="005F0419" w:rsidRDefault="000A404E" w:rsidP="00BE5A4A">
      <w:pPr>
        <w:pStyle w:val="SectionHeading1"/>
        <w:widowControl/>
        <w:spacing w:before="120" w:line="240" w:lineRule="auto"/>
        <w:outlineLvl w:val="0"/>
        <w:rPr>
          <w:lang w:val="en-AU"/>
        </w:rPr>
      </w:pPr>
      <w:r>
        <w:rPr>
          <w:lang w:val="en-AU"/>
        </w:rPr>
        <w:t>Facts</w:t>
      </w:r>
      <w:r w:rsidR="00536D3F">
        <w:rPr>
          <w:lang w:val="en-AU"/>
        </w:rPr>
        <w:t xml:space="preserve"> and background</w:t>
      </w:r>
    </w:p>
    <w:p w14:paraId="2B8ABE5B" w14:textId="20BABAD5" w:rsidR="00240EE3" w:rsidRPr="00221FEF" w:rsidRDefault="0096312C">
      <w:pPr>
        <w:keepNext/>
        <w:spacing w:after="160"/>
        <w:rPr>
          <w:rFonts w:cs="PostGrotesk-Book"/>
          <w:bCs/>
          <w:color w:val="55565A"/>
          <w:sz w:val="22"/>
          <w:szCs w:val="22"/>
          <w:lang w:val="en-AU"/>
        </w:rPr>
      </w:pPr>
      <w:r>
        <w:rPr>
          <w:rFonts w:cs="PostGrotesk-Book"/>
          <w:bCs/>
          <w:color w:val="55565A"/>
          <w:sz w:val="22"/>
          <w:szCs w:val="22"/>
          <w:lang w:val="en-AU"/>
        </w:rPr>
        <w:t xml:space="preserve">Mr </w:t>
      </w:r>
      <w:r w:rsidR="00BA620B" w:rsidRPr="00221FEF">
        <w:rPr>
          <w:rFonts w:cs="PostGrotesk-Book"/>
          <w:bCs/>
          <w:color w:val="55565A"/>
          <w:sz w:val="22"/>
          <w:szCs w:val="22"/>
          <w:lang w:val="en-AU"/>
        </w:rPr>
        <w:t>Grahame (</w:t>
      </w:r>
      <w:r w:rsidR="00B456C1">
        <w:rPr>
          <w:rFonts w:cs="PostGrotesk-Book"/>
          <w:bCs/>
          <w:color w:val="55565A"/>
          <w:sz w:val="22"/>
          <w:szCs w:val="22"/>
          <w:lang w:val="en-AU"/>
        </w:rPr>
        <w:t xml:space="preserve">the </w:t>
      </w:r>
      <w:r w:rsidR="0068628E">
        <w:rPr>
          <w:rFonts w:cs="PostGrotesk-Book"/>
          <w:b/>
          <w:color w:val="55565A"/>
          <w:sz w:val="22"/>
          <w:szCs w:val="22"/>
          <w:lang w:val="en-AU"/>
        </w:rPr>
        <w:t>FOI applicant</w:t>
      </w:r>
      <w:r w:rsidR="00BA620B" w:rsidRPr="00221FEF">
        <w:rPr>
          <w:rFonts w:cs="PostGrotesk-Book"/>
          <w:bCs/>
          <w:color w:val="55565A"/>
          <w:sz w:val="22"/>
          <w:szCs w:val="22"/>
          <w:lang w:val="en-AU"/>
        </w:rPr>
        <w:t>) made a</w:t>
      </w:r>
      <w:r w:rsidR="00B456C1">
        <w:rPr>
          <w:rFonts w:cs="PostGrotesk-Book"/>
          <w:bCs/>
          <w:color w:val="55565A"/>
          <w:sz w:val="22"/>
          <w:szCs w:val="22"/>
          <w:lang w:val="en-AU"/>
        </w:rPr>
        <w:t xml:space="preserve">n FOI </w:t>
      </w:r>
      <w:r w:rsidR="00BA620B" w:rsidRPr="00221FEF">
        <w:rPr>
          <w:rFonts w:cs="PostGrotesk-Book"/>
          <w:bCs/>
          <w:color w:val="55565A"/>
          <w:sz w:val="22"/>
          <w:szCs w:val="22"/>
          <w:lang w:val="en-AU"/>
        </w:rPr>
        <w:t>request to the Victorian Legal Services Commissioner (</w:t>
      </w:r>
      <w:r w:rsidR="00B456C1">
        <w:rPr>
          <w:rFonts w:cs="PostGrotesk-Book"/>
          <w:bCs/>
          <w:color w:val="55565A"/>
          <w:sz w:val="22"/>
          <w:szCs w:val="22"/>
          <w:lang w:val="en-AU"/>
        </w:rPr>
        <w:t xml:space="preserve">the </w:t>
      </w:r>
      <w:r w:rsidR="00BA620B" w:rsidRPr="001C4D9F">
        <w:rPr>
          <w:rFonts w:cs="PostGrotesk-Book"/>
          <w:b/>
          <w:color w:val="55565A"/>
          <w:sz w:val="22"/>
          <w:szCs w:val="22"/>
          <w:lang w:val="en-AU"/>
        </w:rPr>
        <w:t>VLSC</w:t>
      </w:r>
      <w:r w:rsidR="00BA620B" w:rsidRPr="00221FEF">
        <w:rPr>
          <w:rFonts w:cs="PostGrotesk-Book"/>
          <w:bCs/>
          <w:color w:val="55565A"/>
          <w:sz w:val="22"/>
          <w:szCs w:val="22"/>
          <w:lang w:val="en-AU"/>
        </w:rPr>
        <w:t xml:space="preserve">) for </w:t>
      </w:r>
      <w:r w:rsidR="00150F16">
        <w:rPr>
          <w:rFonts w:cs="PostGrotesk-Book"/>
          <w:bCs/>
          <w:color w:val="55565A"/>
          <w:sz w:val="22"/>
          <w:szCs w:val="22"/>
          <w:lang w:val="en-AU"/>
        </w:rPr>
        <w:t xml:space="preserve">its investigation </w:t>
      </w:r>
      <w:r w:rsidR="00240EE3" w:rsidRPr="00221FEF">
        <w:rPr>
          <w:rFonts w:cs="PostGrotesk-Book"/>
          <w:bCs/>
          <w:color w:val="55565A"/>
          <w:sz w:val="22"/>
          <w:szCs w:val="22"/>
          <w:lang w:val="en-AU"/>
        </w:rPr>
        <w:t>documents</w:t>
      </w:r>
      <w:r w:rsidR="002E373B">
        <w:rPr>
          <w:rFonts w:cs="PostGrotesk-Book"/>
          <w:bCs/>
          <w:color w:val="55565A"/>
          <w:sz w:val="22"/>
          <w:szCs w:val="22"/>
          <w:lang w:val="en-AU"/>
        </w:rPr>
        <w:t xml:space="preserve"> </w:t>
      </w:r>
      <w:r w:rsidR="00150F16">
        <w:rPr>
          <w:rFonts w:cs="PostGrotesk-Book"/>
          <w:bCs/>
          <w:color w:val="55565A"/>
          <w:sz w:val="22"/>
          <w:szCs w:val="22"/>
          <w:lang w:val="en-AU"/>
        </w:rPr>
        <w:t xml:space="preserve">about a </w:t>
      </w:r>
      <w:r w:rsidR="00B456C1">
        <w:rPr>
          <w:rFonts w:cs="PostGrotesk-Book"/>
          <w:bCs/>
          <w:color w:val="55565A"/>
          <w:sz w:val="22"/>
          <w:szCs w:val="22"/>
          <w:lang w:val="en-AU"/>
        </w:rPr>
        <w:t xml:space="preserve">complaint </w:t>
      </w:r>
      <w:r w:rsidR="00131F6C">
        <w:rPr>
          <w:rFonts w:cs="PostGrotesk-Book"/>
          <w:bCs/>
          <w:color w:val="55565A"/>
          <w:sz w:val="22"/>
          <w:szCs w:val="22"/>
          <w:lang w:val="en-AU"/>
        </w:rPr>
        <w:t xml:space="preserve">about him </w:t>
      </w:r>
      <w:r w:rsidR="00B456C1">
        <w:rPr>
          <w:rFonts w:cs="PostGrotesk-Book"/>
          <w:bCs/>
          <w:color w:val="55565A"/>
          <w:sz w:val="22"/>
          <w:szCs w:val="22"/>
          <w:lang w:val="en-AU"/>
        </w:rPr>
        <w:t>made to the VLSC</w:t>
      </w:r>
      <w:r w:rsidR="00131F6C">
        <w:rPr>
          <w:rFonts w:cs="PostGrotesk-Book"/>
          <w:bCs/>
          <w:color w:val="55565A"/>
          <w:sz w:val="22"/>
          <w:szCs w:val="22"/>
          <w:lang w:val="en-AU"/>
        </w:rPr>
        <w:t>. He sought</w:t>
      </w:r>
      <w:r w:rsidR="00B456C1">
        <w:rPr>
          <w:rFonts w:cs="PostGrotesk-Book"/>
          <w:bCs/>
          <w:color w:val="55565A"/>
          <w:sz w:val="22"/>
          <w:szCs w:val="22"/>
          <w:lang w:val="en-AU"/>
        </w:rPr>
        <w:t>:</w:t>
      </w:r>
    </w:p>
    <w:p w14:paraId="5790803E" w14:textId="6A714B43" w:rsidR="00240EE3" w:rsidRPr="00221FEF" w:rsidRDefault="00B456C1">
      <w:pPr>
        <w:pStyle w:val="ListParagraph"/>
        <w:keepNext/>
        <w:numPr>
          <w:ilvl w:val="0"/>
          <w:numId w:val="26"/>
        </w:numPr>
        <w:spacing w:after="120"/>
        <w:ind w:left="709" w:hanging="357"/>
        <w:rPr>
          <w:rFonts w:eastAsia="Calibri" w:cs="PostGrotesk-Book"/>
          <w:bCs/>
          <w:color w:val="55565A"/>
          <w:sz w:val="22"/>
          <w:szCs w:val="22"/>
          <w:lang w:eastAsia="en-US"/>
        </w:rPr>
      </w:pPr>
      <w:r>
        <w:rPr>
          <w:rFonts w:eastAsia="Calibri" w:cs="PostGrotesk-Book"/>
          <w:bCs/>
          <w:color w:val="55565A"/>
          <w:sz w:val="22"/>
          <w:szCs w:val="22"/>
          <w:lang w:eastAsia="en-US"/>
        </w:rPr>
        <w:t xml:space="preserve">A </w:t>
      </w:r>
      <w:r w:rsidR="00240EE3" w:rsidRPr="00221FEF">
        <w:rPr>
          <w:rFonts w:eastAsia="Calibri" w:cs="PostGrotesk-Book"/>
          <w:bCs/>
          <w:color w:val="55565A"/>
          <w:sz w:val="22"/>
          <w:szCs w:val="22"/>
          <w:lang w:eastAsia="en-US"/>
        </w:rPr>
        <w:t>report of the Ethics Committee of the Victorian Bar Incorporated (</w:t>
      </w:r>
      <w:r w:rsidR="00A35223">
        <w:rPr>
          <w:rFonts w:eastAsia="Calibri" w:cs="PostGrotesk-Book"/>
          <w:bCs/>
          <w:color w:val="55565A"/>
          <w:sz w:val="22"/>
          <w:szCs w:val="22"/>
          <w:lang w:eastAsia="en-US"/>
        </w:rPr>
        <w:t xml:space="preserve">the </w:t>
      </w:r>
      <w:r w:rsidR="00240EE3" w:rsidRPr="001C4D9F">
        <w:rPr>
          <w:rFonts w:eastAsia="Calibri" w:cs="PostGrotesk-Book"/>
          <w:b/>
          <w:color w:val="55565A"/>
          <w:sz w:val="22"/>
          <w:szCs w:val="22"/>
          <w:lang w:eastAsia="en-US"/>
        </w:rPr>
        <w:t>Committee</w:t>
      </w:r>
      <w:r w:rsidR="00240EE3" w:rsidRPr="00221FEF">
        <w:rPr>
          <w:rFonts w:eastAsia="Calibri" w:cs="PostGrotesk-Book"/>
          <w:bCs/>
          <w:color w:val="55565A"/>
          <w:sz w:val="22"/>
          <w:szCs w:val="22"/>
          <w:lang w:eastAsia="en-US"/>
        </w:rPr>
        <w:t xml:space="preserve">) </w:t>
      </w:r>
      <w:r w:rsidR="00822FE0" w:rsidRPr="00221FEF">
        <w:rPr>
          <w:rFonts w:eastAsia="Calibri" w:cs="PostGrotesk-Book"/>
          <w:bCs/>
          <w:color w:val="55565A"/>
          <w:sz w:val="22"/>
          <w:szCs w:val="22"/>
          <w:lang w:eastAsia="en-US"/>
        </w:rPr>
        <w:t>(</w:t>
      </w:r>
      <w:r w:rsidR="00A35223">
        <w:rPr>
          <w:rFonts w:eastAsia="Calibri" w:cs="PostGrotesk-Book"/>
          <w:bCs/>
          <w:color w:val="55565A"/>
          <w:sz w:val="22"/>
          <w:szCs w:val="22"/>
          <w:lang w:eastAsia="en-US"/>
        </w:rPr>
        <w:t xml:space="preserve">the </w:t>
      </w:r>
      <w:r w:rsidR="00822FE0" w:rsidRPr="001C4D9F">
        <w:rPr>
          <w:rFonts w:eastAsia="Calibri" w:cs="PostGrotesk-Book"/>
          <w:b/>
          <w:color w:val="55565A"/>
          <w:sz w:val="22"/>
          <w:szCs w:val="22"/>
          <w:lang w:eastAsia="en-US"/>
        </w:rPr>
        <w:t>Report</w:t>
      </w:r>
      <w:r w:rsidR="00822FE0" w:rsidRPr="00221FEF">
        <w:rPr>
          <w:rFonts w:eastAsia="Calibri" w:cs="PostGrotesk-Book"/>
          <w:bCs/>
          <w:color w:val="55565A"/>
          <w:sz w:val="22"/>
          <w:szCs w:val="22"/>
          <w:lang w:eastAsia="en-US"/>
        </w:rPr>
        <w:t>)</w:t>
      </w:r>
      <w:r w:rsidR="00240EE3" w:rsidRPr="00221FEF">
        <w:rPr>
          <w:rFonts w:eastAsia="Calibri" w:cs="PostGrotesk-Book"/>
          <w:bCs/>
          <w:color w:val="55565A"/>
          <w:sz w:val="22"/>
          <w:szCs w:val="22"/>
          <w:lang w:eastAsia="en-US"/>
        </w:rPr>
        <w:t>.</w:t>
      </w:r>
    </w:p>
    <w:p w14:paraId="50CE68DF" w14:textId="4A7EA43A" w:rsidR="00240EE3" w:rsidRPr="00221FEF" w:rsidRDefault="00240EE3">
      <w:pPr>
        <w:pStyle w:val="ListParagraph"/>
        <w:keepNext/>
        <w:numPr>
          <w:ilvl w:val="0"/>
          <w:numId w:val="26"/>
        </w:numPr>
        <w:spacing w:after="120"/>
        <w:ind w:left="709" w:hanging="357"/>
        <w:rPr>
          <w:rFonts w:eastAsia="Calibri" w:cs="PostGrotesk-Book"/>
          <w:bCs/>
          <w:color w:val="55565A"/>
          <w:sz w:val="22"/>
          <w:szCs w:val="22"/>
          <w:lang w:eastAsia="en-US"/>
        </w:rPr>
      </w:pPr>
      <w:r w:rsidRPr="00221FEF">
        <w:rPr>
          <w:rFonts w:eastAsia="Calibri" w:cs="PostGrotesk-Book"/>
          <w:bCs/>
          <w:color w:val="55565A"/>
          <w:sz w:val="22"/>
          <w:szCs w:val="22"/>
          <w:lang w:eastAsia="en-US"/>
        </w:rPr>
        <w:t>Any draft or interim reports of the Committee (</w:t>
      </w:r>
      <w:r w:rsidR="00A70D5A">
        <w:rPr>
          <w:rFonts w:eastAsia="Calibri" w:cs="PostGrotesk-Book"/>
          <w:b/>
          <w:color w:val="55565A"/>
          <w:sz w:val="22"/>
          <w:szCs w:val="22"/>
          <w:lang w:eastAsia="en-US"/>
        </w:rPr>
        <w:t>Draft</w:t>
      </w:r>
      <w:r w:rsidRPr="001C4D9F">
        <w:rPr>
          <w:rFonts w:eastAsia="Calibri" w:cs="PostGrotesk-Book"/>
          <w:b/>
          <w:color w:val="55565A"/>
          <w:sz w:val="22"/>
          <w:szCs w:val="22"/>
          <w:lang w:eastAsia="en-US"/>
        </w:rPr>
        <w:t xml:space="preserve"> Report</w:t>
      </w:r>
      <w:r w:rsidR="00A70D5A">
        <w:rPr>
          <w:rFonts w:eastAsia="Calibri" w:cs="PostGrotesk-Book"/>
          <w:b/>
          <w:color w:val="55565A"/>
          <w:sz w:val="22"/>
          <w:szCs w:val="22"/>
          <w:lang w:eastAsia="en-US"/>
        </w:rPr>
        <w:t>s</w:t>
      </w:r>
      <w:r w:rsidRPr="00221FEF">
        <w:rPr>
          <w:rFonts w:eastAsia="Calibri" w:cs="PostGrotesk-Book"/>
          <w:bCs/>
          <w:color w:val="55565A"/>
          <w:sz w:val="22"/>
          <w:szCs w:val="22"/>
          <w:lang w:eastAsia="en-US"/>
        </w:rPr>
        <w:t>).</w:t>
      </w:r>
    </w:p>
    <w:p w14:paraId="17FA5693" w14:textId="1209EF55" w:rsidR="00240EE3" w:rsidRPr="00221FEF" w:rsidRDefault="00B456C1">
      <w:pPr>
        <w:pStyle w:val="ListParagraph"/>
        <w:keepNext/>
        <w:numPr>
          <w:ilvl w:val="0"/>
          <w:numId w:val="26"/>
        </w:numPr>
        <w:spacing w:after="160"/>
        <w:ind w:left="709" w:hanging="357"/>
        <w:rPr>
          <w:rFonts w:eastAsia="Calibri" w:cs="PostGrotesk-Book"/>
          <w:bCs/>
          <w:color w:val="55565A"/>
          <w:sz w:val="22"/>
          <w:szCs w:val="22"/>
          <w:lang w:eastAsia="en-US"/>
        </w:rPr>
      </w:pPr>
      <w:r>
        <w:rPr>
          <w:rFonts w:eastAsia="Calibri" w:cs="PostGrotesk-Book"/>
          <w:bCs/>
          <w:color w:val="55565A"/>
          <w:sz w:val="22"/>
          <w:szCs w:val="22"/>
          <w:lang w:eastAsia="en-US"/>
        </w:rPr>
        <w:t>C</w:t>
      </w:r>
      <w:r w:rsidR="00B86188" w:rsidRPr="00221FEF">
        <w:rPr>
          <w:rFonts w:eastAsia="Calibri" w:cs="PostGrotesk-Book"/>
          <w:bCs/>
          <w:color w:val="55565A"/>
          <w:sz w:val="22"/>
          <w:szCs w:val="22"/>
          <w:lang w:eastAsia="en-US"/>
        </w:rPr>
        <w:t xml:space="preserve">orrespondence between the VLSC and Committee </w:t>
      </w:r>
      <w:r>
        <w:rPr>
          <w:rFonts w:eastAsia="Calibri" w:cs="PostGrotesk-Book"/>
          <w:bCs/>
          <w:color w:val="55565A"/>
          <w:sz w:val="22"/>
          <w:szCs w:val="22"/>
          <w:lang w:eastAsia="en-US"/>
        </w:rPr>
        <w:t xml:space="preserve">about the </w:t>
      </w:r>
      <w:r w:rsidR="001B7AA9">
        <w:rPr>
          <w:rFonts w:eastAsia="Calibri" w:cs="PostGrotesk-Book"/>
          <w:bCs/>
          <w:color w:val="55565A"/>
          <w:sz w:val="22"/>
          <w:szCs w:val="22"/>
          <w:lang w:eastAsia="en-US"/>
        </w:rPr>
        <w:t xml:space="preserve">matter </w:t>
      </w:r>
      <w:r w:rsidR="00A70D5A">
        <w:rPr>
          <w:rFonts w:eastAsia="Calibri" w:cs="PostGrotesk-Book"/>
          <w:bCs/>
          <w:color w:val="55565A"/>
          <w:sz w:val="22"/>
          <w:szCs w:val="22"/>
          <w:lang w:eastAsia="en-US"/>
        </w:rPr>
        <w:t>(</w:t>
      </w:r>
      <w:r w:rsidR="00A70D5A" w:rsidRPr="00A70D5A">
        <w:rPr>
          <w:rFonts w:eastAsia="Calibri" w:cs="PostGrotesk-Book"/>
          <w:b/>
          <w:color w:val="55565A"/>
          <w:sz w:val="22"/>
          <w:szCs w:val="22"/>
          <w:lang w:eastAsia="en-US"/>
        </w:rPr>
        <w:t>Correspondence</w:t>
      </w:r>
      <w:r w:rsidR="00A70D5A">
        <w:rPr>
          <w:rFonts w:eastAsia="Calibri" w:cs="PostGrotesk-Book"/>
          <w:bCs/>
          <w:color w:val="55565A"/>
          <w:sz w:val="22"/>
          <w:szCs w:val="22"/>
          <w:lang w:eastAsia="en-US"/>
        </w:rPr>
        <w:t>)</w:t>
      </w:r>
      <w:r w:rsidR="00B86188" w:rsidRPr="00221FEF">
        <w:rPr>
          <w:rFonts w:eastAsia="Calibri" w:cs="PostGrotesk-Book"/>
          <w:bCs/>
          <w:color w:val="55565A"/>
          <w:sz w:val="22"/>
          <w:szCs w:val="22"/>
          <w:lang w:eastAsia="en-US"/>
        </w:rPr>
        <w:t>.</w:t>
      </w:r>
    </w:p>
    <w:p w14:paraId="6709F84A" w14:textId="4D58C81E" w:rsidR="0080074F" w:rsidRPr="002B6DC2" w:rsidRDefault="00BA620B" w:rsidP="00BE5A4A">
      <w:pPr>
        <w:pStyle w:val="Body"/>
        <w:widowControl/>
        <w:spacing w:after="160" w:line="240" w:lineRule="auto"/>
        <w:rPr>
          <w:lang w:val="en-AU"/>
        </w:rPr>
      </w:pPr>
      <w:r w:rsidRPr="002B6DC2">
        <w:rPr>
          <w:lang w:val="en-AU"/>
        </w:rPr>
        <w:t xml:space="preserve">The VLSC refused access </w:t>
      </w:r>
      <w:r w:rsidR="00B456C1" w:rsidRPr="002B6DC2">
        <w:rPr>
          <w:lang w:val="en-AU"/>
        </w:rPr>
        <w:t xml:space="preserve">to all documents relying on </w:t>
      </w:r>
      <w:r w:rsidRPr="002B6DC2">
        <w:rPr>
          <w:lang w:val="en-AU"/>
        </w:rPr>
        <w:t>section 25</w:t>
      </w:r>
      <w:proofErr w:type="gramStart"/>
      <w:r w:rsidRPr="002B6DC2">
        <w:rPr>
          <w:lang w:val="en-AU"/>
        </w:rPr>
        <w:t>A(</w:t>
      </w:r>
      <w:proofErr w:type="gramEnd"/>
      <w:r w:rsidRPr="002B6DC2">
        <w:rPr>
          <w:lang w:val="en-AU"/>
        </w:rPr>
        <w:t>5)</w:t>
      </w:r>
      <w:r w:rsidR="0080074F" w:rsidRPr="002B6DC2">
        <w:rPr>
          <w:lang w:val="en-AU"/>
        </w:rPr>
        <w:t xml:space="preserve">. </w:t>
      </w:r>
      <w:r w:rsidR="00983677" w:rsidRPr="002B6DC2">
        <w:rPr>
          <w:lang w:val="en-AU"/>
        </w:rPr>
        <w:t>Relevantly, s</w:t>
      </w:r>
      <w:r w:rsidR="0080074F" w:rsidRPr="002B6DC2">
        <w:rPr>
          <w:lang w:val="en-AU"/>
        </w:rPr>
        <w:t xml:space="preserve">ection 25A(5) permits </w:t>
      </w:r>
      <w:r w:rsidR="00131F6C">
        <w:rPr>
          <w:lang w:val="en-AU"/>
        </w:rPr>
        <w:t xml:space="preserve">an agency </w:t>
      </w:r>
      <w:r w:rsidR="0080074F" w:rsidRPr="002B6DC2">
        <w:rPr>
          <w:lang w:val="en-AU"/>
        </w:rPr>
        <w:t xml:space="preserve">to refuse </w:t>
      </w:r>
      <w:r w:rsidR="00983677" w:rsidRPr="002B6DC2">
        <w:rPr>
          <w:lang w:val="en-AU"/>
        </w:rPr>
        <w:t xml:space="preserve">an FOI request </w:t>
      </w:r>
      <w:r w:rsidR="0080074F" w:rsidRPr="002B6DC2">
        <w:rPr>
          <w:lang w:val="en-AU"/>
        </w:rPr>
        <w:t xml:space="preserve">without </w:t>
      </w:r>
      <w:r w:rsidR="00983677" w:rsidRPr="002B6DC2">
        <w:rPr>
          <w:lang w:val="en-AU"/>
        </w:rPr>
        <w:t xml:space="preserve">identifying all the documents or exemptions where it is apparent on the face of the FOI request that all the documents would be exempt </w:t>
      </w:r>
      <w:r w:rsidR="00983677" w:rsidRPr="00131F6C">
        <w:rPr>
          <w:u w:val="single"/>
          <w:lang w:val="en-AU"/>
        </w:rPr>
        <w:t>and</w:t>
      </w:r>
      <w:r w:rsidR="00983677" w:rsidRPr="002B6DC2">
        <w:rPr>
          <w:lang w:val="en-AU"/>
        </w:rPr>
        <w:t xml:space="preserve"> the FOI applicant would not wish access to edited copies of documents.</w:t>
      </w:r>
    </w:p>
    <w:p w14:paraId="32798CDD" w14:textId="6D0D732A" w:rsidR="00983677" w:rsidRPr="002B6DC2" w:rsidRDefault="00240EE3" w:rsidP="00BE5A4A">
      <w:pPr>
        <w:pStyle w:val="Body"/>
        <w:widowControl/>
        <w:spacing w:after="160" w:line="240" w:lineRule="auto"/>
        <w:rPr>
          <w:lang w:val="en-AU"/>
        </w:rPr>
      </w:pPr>
      <w:r w:rsidRPr="002B6DC2">
        <w:rPr>
          <w:lang w:val="en-AU"/>
        </w:rPr>
        <w:t xml:space="preserve">The </w:t>
      </w:r>
      <w:r w:rsidR="0068628E" w:rsidRPr="002B6DC2">
        <w:rPr>
          <w:lang w:val="en-AU"/>
        </w:rPr>
        <w:t>FOI applicant</w:t>
      </w:r>
      <w:r w:rsidR="00BA620B" w:rsidRPr="002B6DC2">
        <w:rPr>
          <w:lang w:val="en-AU"/>
        </w:rPr>
        <w:t xml:space="preserve"> </w:t>
      </w:r>
      <w:r w:rsidR="00B456C1" w:rsidRPr="002B6DC2">
        <w:rPr>
          <w:lang w:val="en-AU"/>
        </w:rPr>
        <w:t xml:space="preserve">sought review of the VLSC decision </w:t>
      </w:r>
      <w:r w:rsidR="00983677" w:rsidRPr="002B6DC2">
        <w:rPr>
          <w:lang w:val="en-AU"/>
        </w:rPr>
        <w:t xml:space="preserve">to OVIC. During the OVIC review, the FOI applicant </w:t>
      </w:r>
      <w:r w:rsidR="00BA620B" w:rsidRPr="002B6DC2">
        <w:rPr>
          <w:lang w:val="en-AU"/>
        </w:rPr>
        <w:t xml:space="preserve">narrowed the scope of </w:t>
      </w:r>
      <w:r w:rsidR="00B86188" w:rsidRPr="002B6DC2">
        <w:rPr>
          <w:lang w:val="en-AU"/>
        </w:rPr>
        <w:t>the review</w:t>
      </w:r>
      <w:r w:rsidR="00BA620B" w:rsidRPr="002B6DC2">
        <w:rPr>
          <w:lang w:val="en-AU"/>
        </w:rPr>
        <w:t xml:space="preserve"> to </w:t>
      </w:r>
      <w:r w:rsidR="00983677" w:rsidRPr="002B6DC2">
        <w:rPr>
          <w:lang w:val="en-AU"/>
        </w:rPr>
        <w:t xml:space="preserve">the </w:t>
      </w:r>
      <w:r w:rsidR="00B86188" w:rsidRPr="002B6DC2">
        <w:rPr>
          <w:lang w:val="en-AU"/>
        </w:rPr>
        <w:t xml:space="preserve">Report </w:t>
      </w:r>
      <w:r w:rsidR="00983677" w:rsidRPr="002B6DC2">
        <w:rPr>
          <w:lang w:val="en-AU"/>
        </w:rPr>
        <w:t>and agreed to accept an edited copy of the document.</w:t>
      </w:r>
    </w:p>
    <w:p w14:paraId="3AED7FC0" w14:textId="3D5A7501" w:rsidR="00AF09DA" w:rsidRPr="002B6DC2" w:rsidRDefault="00BA620B" w:rsidP="00BE5A4A">
      <w:pPr>
        <w:pStyle w:val="Body"/>
        <w:widowControl/>
        <w:spacing w:after="160" w:line="240" w:lineRule="auto"/>
        <w:rPr>
          <w:lang w:val="en-AU"/>
        </w:rPr>
      </w:pPr>
      <w:r w:rsidRPr="002B6DC2">
        <w:rPr>
          <w:lang w:val="en-AU"/>
        </w:rPr>
        <w:t>The (then) Acting Public Access Deputy Commissioner (</w:t>
      </w:r>
      <w:r w:rsidR="00185611">
        <w:rPr>
          <w:lang w:val="en-AU"/>
        </w:rPr>
        <w:t xml:space="preserve">the </w:t>
      </w:r>
      <w:r w:rsidRPr="00185611">
        <w:rPr>
          <w:b/>
          <w:bCs/>
          <w:lang w:val="en-AU"/>
        </w:rPr>
        <w:t>Commissioner</w:t>
      </w:r>
      <w:r w:rsidRPr="002B6DC2">
        <w:rPr>
          <w:lang w:val="en-AU"/>
        </w:rPr>
        <w:t xml:space="preserve">) </w:t>
      </w:r>
      <w:r w:rsidR="00983677" w:rsidRPr="002B6DC2">
        <w:rPr>
          <w:lang w:val="en-AU"/>
        </w:rPr>
        <w:t xml:space="preserve">decided at least part of the </w:t>
      </w:r>
      <w:r w:rsidR="00AF09DA" w:rsidRPr="002B6DC2">
        <w:rPr>
          <w:lang w:val="en-AU"/>
        </w:rPr>
        <w:t>R</w:t>
      </w:r>
      <w:r w:rsidR="00983677" w:rsidRPr="002B6DC2">
        <w:rPr>
          <w:lang w:val="en-AU"/>
        </w:rPr>
        <w:t xml:space="preserve">eport would not be exempt and thus </w:t>
      </w:r>
      <w:r w:rsidR="00AF09DA" w:rsidRPr="002B6DC2">
        <w:rPr>
          <w:lang w:val="en-AU"/>
        </w:rPr>
        <w:t xml:space="preserve">concluded that </w:t>
      </w:r>
      <w:r w:rsidR="00983677" w:rsidRPr="002B6DC2">
        <w:rPr>
          <w:lang w:val="en-AU"/>
        </w:rPr>
        <w:t>s</w:t>
      </w:r>
      <w:r w:rsidRPr="002B6DC2">
        <w:rPr>
          <w:lang w:val="en-AU"/>
        </w:rPr>
        <w:t>ection 25</w:t>
      </w:r>
      <w:proofErr w:type="gramStart"/>
      <w:r w:rsidRPr="002B6DC2">
        <w:rPr>
          <w:lang w:val="en-AU"/>
        </w:rPr>
        <w:t>A(</w:t>
      </w:r>
      <w:proofErr w:type="gramEnd"/>
      <w:r w:rsidRPr="002B6DC2">
        <w:rPr>
          <w:lang w:val="en-AU"/>
        </w:rPr>
        <w:t>5)</w:t>
      </w:r>
      <w:r w:rsidR="00AF09DA" w:rsidRPr="002B6DC2">
        <w:rPr>
          <w:lang w:val="en-AU"/>
        </w:rPr>
        <w:t xml:space="preserve"> did not apply</w:t>
      </w:r>
      <w:r w:rsidR="00983677" w:rsidRPr="002B6DC2">
        <w:rPr>
          <w:lang w:val="en-AU"/>
        </w:rPr>
        <w:t>.</w:t>
      </w:r>
      <w:r w:rsidR="00AF09DA" w:rsidRPr="002B6DC2">
        <w:rPr>
          <w:lang w:val="en-AU"/>
        </w:rPr>
        <w:t xml:space="preserve"> The VLSC </w:t>
      </w:r>
      <w:r w:rsidR="00131F6C">
        <w:rPr>
          <w:lang w:val="en-AU"/>
        </w:rPr>
        <w:t xml:space="preserve">applied to </w:t>
      </w:r>
      <w:r w:rsidR="00AF09DA" w:rsidRPr="002B6DC2">
        <w:rPr>
          <w:lang w:val="en-AU"/>
        </w:rPr>
        <w:t xml:space="preserve">VCAT </w:t>
      </w:r>
      <w:r w:rsidR="00131F6C">
        <w:rPr>
          <w:lang w:val="en-AU"/>
        </w:rPr>
        <w:t xml:space="preserve">for </w:t>
      </w:r>
      <w:r w:rsidR="00AF09DA" w:rsidRPr="002B6DC2">
        <w:rPr>
          <w:lang w:val="en-AU"/>
        </w:rPr>
        <w:t>review of the Commissioner’s decision.</w:t>
      </w:r>
    </w:p>
    <w:p w14:paraId="7B7A97C8" w14:textId="76A98CB6" w:rsidR="00AF09DA" w:rsidRDefault="00AF09DA" w:rsidP="00BE5A4A">
      <w:pPr>
        <w:pStyle w:val="SectionHeading1"/>
        <w:widowControl/>
        <w:spacing w:before="120" w:line="240" w:lineRule="auto"/>
        <w:rPr>
          <w:lang w:val="en-AU"/>
        </w:rPr>
      </w:pPr>
      <w:r>
        <w:rPr>
          <w:lang w:val="en-AU"/>
        </w:rPr>
        <w:t>VCAT Decision</w:t>
      </w:r>
    </w:p>
    <w:p w14:paraId="37C84715" w14:textId="289BA50D" w:rsidR="00B86401" w:rsidRDefault="00B86401" w:rsidP="00BE5A4A">
      <w:pPr>
        <w:pStyle w:val="Body"/>
        <w:widowControl/>
        <w:spacing w:after="120" w:line="240" w:lineRule="auto"/>
        <w:rPr>
          <w:b/>
          <w:lang w:val="en-AU"/>
        </w:rPr>
      </w:pPr>
      <w:r>
        <w:rPr>
          <w:b/>
          <w:lang w:val="en-AU"/>
        </w:rPr>
        <w:t xml:space="preserve">What test did </w:t>
      </w:r>
      <w:r w:rsidR="002B6DC2">
        <w:rPr>
          <w:b/>
          <w:lang w:val="en-AU"/>
        </w:rPr>
        <w:t xml:space="preserve">the Tribunal </w:t>
      </w:r>
      <w:r>
        <w:rPr>
          <w:b/>
          <w:lang w:val="en-AU"/>
        </w:rPr>
        <w:t>apply?</w:t>
      </w:r>
    </w:p>
    <w:p w14:paraId="010F0A87" w14:textId="7515F1E2" w:rsidR="00B86401" w:rsidRDefault="002B6DC2" w:rsidP="00BE5A4A">
      <w:pPr>
        <w:pStyle w:val="SectionHeading1"/>
        <w:widowControl/>
        <w:spacing w:line="240" w:lineRule="auto"/>
        <w:rPr>
          <w:rFonts w:cs="PostGrotesk-Book"/>
          <w:bCs/>
          <w:color w:val="55565A"/>
          <w:sz w:val="22"/>
          <w:szCs w:val="22"/>
          <w:lang w:val="en-AU"/>
        </w:rPr>
      </w:pPr>
      <w:r>
        <w:rPr>
          <w:rFonts w:cs="PostGrotesk-Book"/>
          <w:bCs/>
          <w:color w:val="55565A"/>
          <w:sz w:val="22"/>
          <w:szCs w:val="22"/>
          <w:lang w:val="en-AU"/>
        </w:rPr>
        <w:t xml:space="preserve">The Tribunal </w:t>
      </w:r>
      <w:r w:rsidR="00131F6C">
        <w:rPr>
          <w:rFonts w:cs="PostGrotesk-Book"/>
          <w:bCs/>
          <w:color w:val="55565A"/>
          <w:sz w:val="22"/>
          <w:szCs w:val="22"/>
          <w:lang w:val="en-AU"/>
        </w:rPr>
        <w:t xml:space="preserve">applied the </w:t>
      </w:r>
      <w:r w:rsidR="00185611">
        <w:rPr>
          <w:rFonts w:cs="PostGrotesk-Book"/>
          <w:bCs/>
          <w:color w:val="55565A"/>
          <w:sz w:val="22"/>
          <w:szCs w:val="22"/>
          <w:lang w:val="en-AU"/>
        </w:rPr>
        <w:t xml:space="preserve">three </w:t>
      </w:r>
      <w:r w:rsidR="00131F6C">
        <w:rPr>
          <w:rFonts w:cs="PostGrotesk-Book"/>
          <w:bCs/>
          <w:color w:val="55565A"/>
          <w:sz w:val="22"/>
          <w:szCs w:val="22"/>
          <w:lang w:val="en-AU"/>
        </w:rPr>
        <w:t xml:space="preserve">conditions </w:t>
      </w:r>
      <w:r w:rsidR="006664FE">
        <w:rPr>
          <w:rFonts w:cs="PostGrotesk-Book"/>
          <w:bCs/>
          <w:color w:val="55565A"/>
          <w:sz w:val="22"/>
          <w:szCs w:val="22"/>
          <w:lang w:val="en-AU"/>
        </w:rPr>
        <w:t>the Supreme Court</w:t>
      </w:r>
      <w:r w:rsidR="00185611">
        <w:rPr>
          <w:rStyle w:val="FootnoteReference"/>
          <w:rFonts w:cs="PostGrotesk-Book"/>
          <w:bCs/>
          <w:color w:val="55565A"/>
          <w:sz w:val="22"/>
          <w:szCs w:val="22"/>
          <w:lang w:val="en-AU"/>
        </w:rPr>
        <w:footnoteReference w:id="1"/>
      </w:r>
      <w:r w:rsidR="006664FE">
        <w:rPr>
          <w:rFonts w:cs="PostGrotesk-Book"/>
          <w:bCs/>
          <w:color w:val="55565A"/>
          <w:sz w:val="22"/>
          <w:szCs w:val="22"/>
          <w:lang w:val="en-AU"/>
        </w:rPr>
        <w:t xml:space="preserve"> </w:t>
      </w:r>
      <w:r w:rsidR="00131F6C">
        <w:rPr>
          <w:rFonts w:cs="PostGrotesk-Book"/>
          <w:bCs/>
          <w:color w:val="55565A"/>
          <w:sz w:val="22"/>
          <w:szCs w:val="22"/>
          <w:lang w:val="en-AU"/>
        </w:rPr>
        <w:t>set out</w:t>
      </w:r>
      <w:r w:rsidR="001B7AA9">
        <w:rPr>
          <w:rFonts w:cs="PostGrotesk-Book"/>
          <w:bCs/>
          <w:i/>
          <w:iCs/>
          <w:color w:val="55565A"/>
          <w:sz w:val="22"/>
          <w:szCs w:val="22"/>
          <w:lang w:val="en-AU"/>
        </w:rPr>
        <w:t xml:space="preserve"> </w:t>
      </w:r>
      <w:r>
        <w:rPr>
          <w:rFonts w:cs="PostGrotesk-Book"/>
          <w:bCs/>
          <w:color w:val="55565A"/>
          <w:sz w:val="22"/>
          <w:szCs w:val="22"/>
          <w:lang w:val="en-AU"/>
        </w:rPr>
        <w:t>to engage section 25</w:t>
      </w:r>
      <w:proofErr w:type="gramStart"/>
      <w:r>
        <w:rPr>
          <w:rFonts w:cs="PostGrotesk-Book"/>
          <w:bCs/>
          <w:color w:val="55565A"/>
          <w:sz w:val="22"/>
          <w:szCs w:val="22"/>
          <w:lang w:val="en-AU"/>
        </w:rPr>
        <w:t>A(</w:t>
      </w:r>
      <w:proofErr w:type="gramEnd"/>
      <w:r>
        <w:rPr>
          <w:rFonts w:cs="PostGrotesk-Book"/>
          <w:bCs/>
          <w:color w:val="55565A"/>
          <w:sz w:val="22"/>
          <w:szCs w:val="22"/>
          <w:lang w:val="en-AU"/>
        </w:rPr>
        <w:t>5)</w:t>
      </w:r>
      <w:r w:rsidR="00B86401">
        <w:rPr>
          <w:rFonts w:cs="PostGrotesk-Book"/>
          <w:bCs/>
          <w:color w:val="55565A"/>
          <w:sz w:val="22"/>
          <w:szCs w:val="22"/>
          <w:lang w:val="en-AU"/>
        </w:rPr>
        <w:t>:</w:t>
      </w:r>
    </w:p>
    <w:p w14:paraId="3913867B" w14:textId="5DE1628F" w:rsidR="00B86401" w:rsidRDefault="00B86401" w:rsidP="00BE5A4A">
      <w:pPr>
        <w:pStyle w:val="SectionHeading1"/>
        <w:widowControl/>
        <w:numPr>
          <w:ilvl w:val="0"/>
          <w:numId w:val="25"/>
        </w:numPr>
        <w:spacing w:after="0" w:line="240" w:lineRule="auto"/>
        <w:ind w:left="709" w:hanging="357"/>
        <w:rPr>
          <w:rFonts w:cs="PostGrotesk-Book"/>
          <w:bCs/>
          <w:color w:val="55565A"/>
          <w:sz w:val="22"/>
          <w:szCs w:val="22"/>
          <w:lang w:val="en-AU"/>
        </w:rPr>
      </w:pPr>
      <w:r>
        <w:rPr>
          <w:rFonts w:cs="PostGrotesk-Book"/>
          <w:bCs/>
          <w:color w:val="55565A"/>
          <w:sz w:val="22"/>
          <w:szCs w:val="22"/>
          <w:lang w:val="en-AU"/>
        </w:rPr>
        <w:t xml:space="preserve">The exempt nature of the documents </w:t>
      </w:r>
      <w:r w:rsidR="002B6DC2">
        <w:rPr>
          <w:rFonts w:cs="PostGrotesk-Book"/>
          <w:bCs/>
          <w:color w:val="55565A"/>
          <w:sz w:val="22"/>
          <w:szCs w:val="22"/>
          <w:lang w:val="en-AU"/>
        </w:rPr>
        <w:t xml:space="preserve">must be </w:t>
      </w:r>
      <w:r>
        <w:rPr>
          <w:rFonts w:cs="PostGrotesk-Book"/>
          <w:bCs/>
          <w:color w:val="55565A"/>
          <w:sz w:val="22"/>
          <w:szCs w:val="22"/>
          <w:lang w:val="en-AU"/>
        </w:rPr>
        <w:t>objectively apparent from the face of the request.</w:t>
      </w:r>
    </w:p>
    <w:p w14:paraId="3D1AE152" w14:textId="2A8EE95C" w:rsidR="00B86401" w:rsidRDefault="00B86401" w:rsidP="00BE5A4A">
      <w:pPr>
        <w:pStyle w:val="SectionHeading1"/>
        <w:widowControl/>
        <w:numPr>
          <w:ilvl w:val="0"/>
          <w:numId w:val="25"/>
        </w:numPr>
        <w:spacing w:after="0" w:line="240" w:lineRule="auto"/>
        <w:ind w:left="709" w:hanging="357"/>
        <w:rPr>
          <w:rFonts w:cs="PostGrotesk-Book"/>
          <w:bCs/>
          <w:color w:val="55565A"/>
          <w:sz w:val="22"/>
          <w:szCs w:val="22"/>
          <w:lang w:val="en-AU"/>
        </w:rPr>
      </w:pPr>
      <w:r>
        <w:rPr>
          <w:rFonts w:cs="PostGrotesk-Book"/>
          <w:bCs/>
          <w:color w:val="55565A"/>
          <w:sz w:val="22"/>
          <w:szCs w:val="22"/>
          <w:lang w:val="en-AU"/>
        </w:rPr>
        <w:t xml:space="preserve">It must be apparent that </w:t>
      </w:r>
      <w:r w:rsidRPr="002B6DC2">
        <w:rPr>
          <w:rFonts w:cs="PostGrotesk-Book"/>
          <w:bCs/>
          <w:color w:val="55565A"/>
          <w:sz w:val="22"/>
          <w:szCs w:val="22"/>
          <w:u w:val="single"/>
          <w:lang w:val="en-AU"/>
        </w:rPr>
        <w:t>all</w:t>
      </w:r>
      <w:r>
        <w:rPr>
          <w:rFonts w:cs="PostGrotesk-Book"/>
          <w:bCs/>
          <w:color w:val="55565A"/>
          <w:sz w:val="22"/>
          <w:szCs w:val="22"/>
          <w:lang w:val="en-AU"/>
        </w:rPr>
        <w:t xml:space="preserve"> of the documents in the request are exempt.</w:t>
      </w:r>
    </w:p>
    <w:p w14:paraId="4B42D46A" w14:textId="479B26FE" w:rsidR="00B86401" w:rsidRDefault="00B86401" w:rsidP="00BE5A4A">
      <w:pPr>
        <w:pStyle w:val="SectionHeading1"/>
        <w:widowControl/>
        <w:numPr>
          <w:ilvl w:val="0"/>
          <w:numId w:val="25"/>
        </w:numPr>
        <w:spacing w:line="240" w:lineRule="auto"/>
        <w:ind w:left="709" w:hanging="357"/>
        <w:rPr>
          <w:rFonts w:cs="PostGrotesk-Book"/>
          <w:bCs/>
          <w:color w:val="55565A"/>
          <w:sz w:val="22"/>
          <w:szCs w:val="22"/>
          <w:lang w:val="en-AU"/>
        </w:rPr>
      </w:pPr>
      <w:r>
        <w:rPr>
          <w:rFonts w:cs="PostGrotesk-Book"/>
          <w:bCs/>
          <w:color w:val="55565A"/>
          <w:sz w:val="22"/>
          <w:szCs w:val="22"/>
          <w:lang w:val="en-AU"/>
        </w:rPr>
        <w:t>From the face of the request or the applicant’s declared wishes, there must be no scope to provide edited copies of any of the documents.</w:t>
      </w:r>
    </w:p>
    <w:p w14:paraId="2633BD6F" w14:textId="065AA404" w:rsidR="002B6DC2" w:rsidRDefault="002B6DC2" w:rsidP="00BE5A4A">
      <w:pPr>
        <w:pStyle w:val="SectionHeading1"/>
        <w:widowControl/>
        <w:spacing w:line="240" w:lineRule="auto"/>
        <w:rPr>
          <w:rFonts w:cs="PostGrotesk-Book"/>
          <w:bCs/>
          <w:color w:val="55565A"/>
          <w:sz w:val="22"/>
          <w:szCs w:val="22"/>
          <w:lang w:val="en-AU"/>
        </w:rPr>
      </w:pPr>
      <w:r>
        <w:rPr>
          <w:rFonts w:cs="PostGrotesk-Book"/>
          <w:bCs/>
          <w:color w:val="55565A"/>
          <w:sz w:val="22"/>
          <w:szCs w:val="22"/>
          <w:lang w:val="en-AU"/>
        </w:rPr>
        <w:t>The Tribunal noted commentary that this was a “heavy burden” on agencies that relied on section 25</w:t>
      </w:r>
      <w:proofErr w:type="gramStart"/>
      <w:r>
        <w:rPr>
          <w:rFonts w:cs="PostGrotesk-Book"/>
          <w:bCs/>
          <w:color w:val="55565A"/>
          <w:sz w:val="22"/>
          <w:szCs w:val="22"/>
          <w:lang w:val="en-AU"/>
        </w:rPr>
        <w:t>A(</w:t>
      </w:r>
      <w:proofErr w:type="gramEnd"/>
      <w:r>
        <w:rPr>
          <w:rFonts w:cs="PostGrotesk-Book"/>
          <w:bCs/>
          <w:color w:val="55565A"/>
          <w:sz w:val="22"/>
          <w:szCs w:val="22"/>
          <w:lang w:val="en-AU"/>
        </w:rPr>
        <w:t>5).</w:t>
      </w:r>
    </w:p>
    <w:p w14:paraId="76AC03CE" w14:textId="73D7C5B3" w:rsidR="00AF09DA" w:rsidRPr="00521745" w:rsidRDefault="00AF09DA" w:rsidP="00BE5A4A">
      <w:pPr>
        <w:pStyle w:val="Body"/>
        <w:keepNext/>
        <w:widowControl/>
        <w:spacing w:after="120" w:line="240" w:lineRule="auto"/>
        <w:rPr>
          <w:lang w:val="en-AU"/>
        </w:rPr>
      </w:pPr>
      <w:r>
        <w:rPr>
          <w:b/>
          <w:lang w:val="en-AU"/>
        </w:rPr>
        <w:t xml:space="preserve">What documents </w:t>
      </w:r>
      <w:r w:rsidR="00B86401">
        <w:rPr>
          <w:b/>
          <w:lang w:val="en-AU"/>
        </w:rPr>
        <w:t xml:space="preserve">did the Tribunal consider </w:t>
      </w:r>
      <w:r w:rsidR="007F3161">
        <w:rPr>
          <w:b/>
          <w:lang w:val="en-AU"/>
        </w:rPr>
        <w:t xml:space="preserve">against </w:t>
      </w:r>
      <w:r w:rsidR="00B86401">
        <w:rPr>
          <w:b/>
          <w:lang w:val="en-AU"/>
        </w:rPr>
        <w:t xml:space="preserve">section </w:t>
      </w:r>
      <w:r w:rsidR="007F3161">
        <w:rPr>
          <w:b/>
          <w:lang w:val="en-AU"/>
        </w:rPr>
        <w:t>25</w:t>
      </w:r>
      <w:proofErr w:type="gramStart"/>
      <w:r w:rsidR="007F3161">
        <w:rPr>
          <w:b/>
          <w:lang w:val="en-AU"/>
        </w:rPr>
        <w:t>A(</w:t>
      </w:r>
      <w:proofErr w:type="gramEnd"/>
      <w:r w:rsidR="007F3161">
        <w:rPr>
          <w:b/>
          <w:lang w:val="en-AU"/>
        </w:rPr>
        <w:t>5)</w:t>
      </w:r>
      <w:r>
        <w:rPr>
          <w:b/>
          <w:lang w:val="en-AU"/>
        </w:rPr>
        <w:t>?</w:t>
      </w:r>
    </w:p>
    <w:p w14:paraId="0DA8B72D" w14:textId="04538E78" w:rsidR="00682BB5" w:rsidRDefault="00B86401" w:rsidP="00BE5A4A">
      <w:pPr>
        <w:pStyle w:val="Body"/>
        <w:widowControl/>
        <w:spacing w:after="160" w:line="240" w:lineRule="auto"/>
        <w:rPr>
          <w:lang w:val="en-AU"/>
        </w:rPr>
      </w:pPr>
      <w:r>
        <w:rPr>
          <w:lang w:val="en-AU"/>
        </w:rPr>
        <w:t>D</w:t>
      </w:r>
      <w:r w:rsidR="007F3161">
        <w:rPr>
          <w:lang w:val="en-AU"/>
        </w:rPr>
        <w:t xml:space="preserve">uring the OVIC review, the FOI applicant reduced the documents in contention. </w:t>
      </w:r>
      <w:r w:rsidR="00682BB5">
        <w:rPr>
          <w:lang w:val="en-AU"/>
        </w:rPr>
        <w:t>Nevertheless, t</w:t>
      </w:r>
      <w:r w:rsidR="007F3161">
        <w:rPr>
          <w:lang w:val="en-AU"/>
        </w:rPr>
        <w:t xml:space="preserve">he VLSC argued that the Tribunal </w:t>
      </w:r>
      <w:r>
        <w:rPr>
          <w:lang w:val="en-AU"/>
        </w:rPr>
        <w:t xml:space="preserve">had to consider </w:t>
      </w:r>
      <w:r w:rsidR="007F3161" w:rsidRPr="007F3161">
        <w:rPr>
          <w:u w:val="single"/>
          <w:lang w:val="en-AU"/>
        </w:rPr>
        <w:t>all</w:t>
      </w:r>
      <w:r w:rsidR="007F3161">
        <w:rPr>
          <w:lang w:val="en-AU"/>
        </w:rPr>
        <w:t xml:space="preserve"> the</w:t>
      </w:r>
      <w:r w:rsidR="00682BB5">
        <w:rPr>
          <w:lang w:val="en-AU"/>
        </w:rPr>
        <w:t xml:space="preserve"> documents in the FOI application, not just the Report.</w:t>
      </w:r>
    </w:p>
    <w:p w14:paraId="0313F486" w14:textId="6201FECA" w:rsidR="00682BB5" w:rsidRDefault="00676409" w:rsidP="00BE5A4A">
      <w:pPr>
        <w:pStyle w:val="Body"/>
        <w:widowControl/>
        <w:spacing w:after="160" w:line="240" w:lineRule="auto"/>
        <w:rPr>
          <w:lang w:val="en-AU"/>
        </w:rPr>
      </w:pPr>
      <w:r>
        <w:rPr>
          <w:lang w:val="en-AU"/>
        </w:rPr>
        <w:lastRenderedPageBreak/>
        <w:t>T</w:t>
      </w:r>
      <w:r w:rsidR="00B86401">
        <w:rPr>
          <w:lang w:val="en-AU"/>
        </w:rPr>
        <w:t xml:space="preserve">he </w:t>
      </w:r>
      <w:r w:rsidR="00682BB5">
        <w:rPr>
          <w:lang w:val="en-AU"/>
        </w:rPr>
        <w:t xml:space="preserve">FOI applicant </w:t>
      </w:r>
      <w:r>
        <w:rPr>
          <w:lang w:val="en-AU"/>
        </w:rPr>
        <w:t xml:space="preserve">did not appear </w:t>
      </w:r>
      <w:r w:rsidR="00682BB5">
        <w:rPr>
          <w:lang w:val="en-AU"/>
        </w:rPr>
        <w:t>at the Tribunal hearing</w:t>
      </w:r>
      <w:r>
        <w:rPr>
          <w:lang w:val="en-AU"/>
        </w:rPr>
        <w:t>. In the circumstances</w:t>
      </w:r>
      <w:r w:rsidR="00682BB5">
        <w:rPr>
          <w:lang w:val="en-AU"/>
        </w:rPr>
        <w:t>, t</w:t>
      </w:r>
      <w:r w:rsidR="00B86401">
        <w:rPr>
          <w:lang w:val="en-AU"/>
        </w:rPr>
        <w:t>he Tribunal accepted the VLSC’s approach because it “effectively maintains the heavy burden on the VLSC</w:t>
      </w:r>
      <w:r w:rsidR="002B6DC2">
        <w:rPr>
          <w:lang w:val="en-AU"/>
        </w:rPr>
        <w:t xml:space="preserve"> given the wider set of documents to be considered”.</w:t>
      </w:r>
    </w:p>
    <w:p w14:paraId="1E39B74C" w14:textId="202EA772" w:rsidR="00A171EB" w:rsidRPr="00521745" w:rsidRDefault="00A171EB" w:rsidP="00BE5A4A">
      <w:pPr>
        <w:pStyle w:val="Body"/>
        <w:widowControl/>
        <w:spacing w:after="120" w:line="240" w:lineRule="auto"/>
        <w:rPr>
          <w:lang w:val="en-AU"/>
        </w:rPr>
      </w:pPr>
      <w:r>
        <w:rPr>
          <w:b/>
          <w:lang w:val="en-AU"/>
        </w:rPr>
        <w:t>Was it apparent that all of the documents in the request were exempt?</w:t>
      </w:r>
    </w:p>
    <w:p w14:paraId="32B13753" w14:textId="72BCC5F5" w:rsidR="00433A17" w:rsidRDefault="00433A17" w:rsidP="00BE5A4A">
      <w:pPr>
        <w:pStyle w:val="Body"/>
        <w:widowControl/>
        <w:spacing w:after="160" w:line="240" w:lineRule="auto"/>
        <w:rPr>
          <w:lang w:val="en-AU"/>
        </w:rPr>
      </w:pPr>
      <w:r>
        <w:rPr>
          <w:lang w:val="en-AU"/>
        </w:rPr>
        <w:t>In response to submissions from the VLSC, the Tribunal confirmed that the test as to whether section 25</w:t>
      </w:r>
      <w:proofErr w:type="gramStart"/>
      <w:r>
        <w:rPr>
          <w:lang w:val="en-AU"/>
        </w:rPr>
        <w:t>A(</w:t>
      </w:r>
      <w:proofErr w:type="gramEnd"/>
      <w:r>
        <w:rPr>
          <w:lang w:val="en-AU"/>
        </w:rPr>
        <w:t xml:space="preserve">5) applies to documents is an objective, not subjective test. It noted this </w:t>
      </w:r>
      <w:r w:rsidR="001B7AA9">
        <w:rPr>
          <w:lang w:val="en-AU"/>
        </w:rPr>
        <w:t xml:space="preserve">was </w:t>
      </w:r>
      <w:r>
        <w:rPr>
          <w:lang w:val="en-AU"/>
        </w:rPr>
        <w:t xml:space="preserve">consistent with the approach in </w:t>
      </w:r>
      <w:r w:rsidRPr="00A70D5A">
        <w:rPr>
          <w:i/>
          <w:iCs/>
          <w:lang w:val="en-AU"/>
        </w:rPr>
        <w:t>Knight v Corrections Victoria</w:t>
      </w:r>
      <w:r>
        <w:rPr>
          <w:lang w:val="en-AU"/>
        </w:rPr>
        <w:t xml:space="preserve">. </w:t>
      </w:r>
    </w:p>
    <w:p w14:paraId="115529F9" w14:textId="4E4DB3A7" w:rsidR="00A171EB" w:rsidRDefault="00A171EB" w:rsidP="00BE5A4A">
      <w:pPr>
        <w:pStyle w:val="Body"/>
        <w:widowControl/>
        <w:spacing w:after="160" w:line="240" w:lineRule="auto"/>
        <w:rPr>
          <w:lang w:val="en-AU"/>
        </w:rPr>
      </w:pPr>
      <w:r>
        <w:rPr>
          <w:lang w:val="en-AU"/>
        </w:rPr>
        <w:t>The Tribunal received evidence from the VLSC about the three types of documents the FOI applicant sought, then considered whether it was apparent that the documents were exempt.</w:t>
      </w:r>
    </w:p>
    <w:p w14:paraId="464436D4" w14:textId="43F70093" w:rsidR="00F51DCA" w:rsidRDefault="0041427E" w:rsidP="00BE5A4A">
      <w:pPr>
        <w:pStyle w:val="Body"/>
        <w:widowControl/>
        <w:spacing w:after="160" w:line="240" w:lineRule="auto"/>
        <w:rPr>
          <w:lang w:val="en-AU"/>
        </w:rPr>
      </w:pPr>
      <w:r>
        <w:rPr>
          <w:lang w:val="en-AU"/>
        </w:rPr>
        <w:t xml:space="preserve">The Tribunal accepted that </w:t>
      </w:r>
      <w:r w:rsidR="00F51DCA">
        <w:rPr>
          <w:lang w:val="en-AU"/>
        </w:rPr>
        <w:t xml:space="preserve">it was apparent that </w:t>
      </w:r>
      <w:r>
        <w:rPr>
          <w:lang w:val="en-AU"/>
        </w:rPr>
        <w:t>parts of the Report, Draft Reports and Co</w:t>
      </w:r>
      <w:r w:rsidR="003F1F74">
        <w:rPr>
          <w:lang w:val="en-AU"/>
        </w:rPr>
        <w:t xml:space="preserve">rrespondence would be exempt under sections 30, 38 and </w:t>
      </w:r>
      <w:r w:rsidR="00F51DCA">
        <w:rPr>
          <w:lang w:val="en-AU"/>
        </w:rPr>
        <w:t>33.</w:t>
      </w:r>
      <w:r w:rsidR="00D56C55">
        <w:rPr>
          <w:lang w:val="en-AU"/>
        </w:rPr>
        <w:t xml:space="preserve"> </w:t>
      </w:r>
      <w:r w:rsidR="00F51DCA">
        <w:rPr>
          <w:lang w:val="en-AU"/>
        </w:rPr>
        <w:t>Nevertheless, the Tribunal also found it was apparent parts of these documents were not exempt.</w:t>
      </w:r>
    </w:p>
    <w:p w14:paraId="152E8701" w14:textId="1234529F" w:rsidR="00F51DCA" w:rsidRPr="00861888" w:rsidRDefault="00F51DCA" w:rsidP="00BE5A4A">
      <w:pPr>
        <w:pStyle w:val="Body"/>
        <w:widowControl/>
        <w:spacing w:after="160" w:line="240" w:lineRule="auto"/>
        <w:rPr>
          <w:lang w:val="en-AU"/>
        </w:rPr>
      </w:pPr>
      <w:r>
        <w:rPr>
          <w:u w:val="single"/>
          <w:lang w:val="en-AU"/>
        </w:rPr>
        <w:t xml:space="preserve">Section 38 </w:t>
      </w:r>
      <w:r w:rsidRPr="00F51DCA">
        <w:rPr>
          <w:u w:val="single"/>
          <w:lang w:val="en-AU"/>
        </w:rPr>
        <w:t>Secrecy</w:t>
      </w:r>
      <w:r w:rsidRPr="00F51DCA">
        <w:rPr>
          <w:lang w:val="en-AU"/>
        </w:rPr>
        <w:t xml:space="preserve"> - </w:t>
      </w:r>
      <w:r>
        <w:rPr>
          <w:lang w:val="en-AU"/>
        </w:rPr>
        <w:t xml:space="preserve">While the Tribunal accepted the documents contained information subject to a secrecy provision in section 462 the </w:t>
      </w:r>
      <w:r>
        <w:rPr>
          <w:i/>
          <w:iCs/>
          <w:lang w:val="en-AU"/>
        </w:rPr>
        <w:t xml:space="preserve">Legal Profession Uniform Law Application Act </w:t>
      </w:r>
      <w:r w:rsidRPr="00A171EB">
        <w:rPr>
          <w:i/>
          <w:iCs/>
          <w:lang w:val="en-AU"/>
        </w:rPr>
        <w:t>2014</w:t>
      </w:r>
      <w:r>
        <w:rPr>
          <w:lang w:val="en-AU"/>
        </w:rPr>
        <w:t xml:space="preserve"> (</w:t>
      </w:r>
      <w:r w:rsidRPr="00A171EB">
        <w:rPr>
          <w:b/>
          <w:bCs/>
          <w:lang w:val="en-AU"/>
        </w:rPr>
        <w:t>L</w:t>
      </w:r>
      <w:r>
        <w:rPr>
          <w:b/>
          <w:bCs/>
          <w:lang w:val="en-AU"/>
        </w:rPr>
        <w:t>P</w:t>
      </w:r>
      <w:r w:rsidRPr="00A171EB">
        <w:rPr>
          <w:b/>
          <w:bCs/>
          <w:lang w:val="en-AU"/>
        </w:rPr>
        <w:t>ULA</w:t>
      </w:r>
      <w:r>
        <w:rPr>
          <w:lang w:val="en-AU"/>
        </w:rPr>
        <w:t xml:space="preserve">), it found </w:t>
      </w:r>
      <w:r w:rsidR="001B7AA9">
        <w:rPr>
          <w:lang w:val="en-AU"/>
        </w:rPr>
        <w:t xml:space="preserve">the documents also included </w:t>
      </w:r>
      <w:r>
        <w:rPr>
          <w:lang w:val="en-AU"/>
        </w:rPr>
        <w:t xml:space="preserve">information about the FOI applicant. Insofar as </w:t>
      </w:r>
      <w:r w:rsidR="001B7AA9">
        <w:rPr>
          <w:lang w:val="en-AU"/>
        </w:rPr>
        <w:t>they did</w:t>
      </w:r>
      <w:r>
        <w:rPr>
          <w:lang w:val="en-AU"/>
        </w:rPr>
        <w:t xml:space="preserve">, the exception to the secrecy in section 462(2) of the LPULA meant that information was not secret and thus not apparently exempt under section 38. The member followed the </w:t>
      </w:r>
      <w:proofErr w:type="spellStart"/>
      <w:r w:rsidRPr="00822FE0">
        <w:rPr>
          <w:i/>
          <w:iCs/>
          <w:lang w:val="en-AU"/>
        </w:rPr>
        <w:t>Gullquist</w:t>
      </w:r>
      <w:proofErr w:type="spellEnd"/>
      <w:r w:rsidRPr="00822FE0">
        <w:rPr>
          <w:rStyle w:val="FootnoteReference"/>
          <w:lang w:val="en-AU"/>
        </w:rPr>
        <w:footnoteReference w:id="2"/>
      </w:r>
      <w:r>
        <w:rPr>
          <w:i/>
          <w:iCs/>
          <w:lang w:val="en-AU"/>
        </w:rPr>
        <w:t xml:space="preserve"> </w:t>
      </w:r>
      <w:r>
        <w:rPr>
          <w:lang w:val="en-AU"/>
        </w:rPr>
        <w:t>decision that dealt with this issue.</w:t>
      </w:r>
    </w:p>
    <w:p w14:paraId="34FDFC84" w14:textId="19429C6C" w:rsidR="00F51DCA" w:rsidRDefault="00F51DCA" w:rsidP="00BE5A4A">
      <w:pPr>
        <w:pStyle w:val="Body"/>
        <w:widowControl/>
        <w:spacing w:after="160" w:line="240" w:lineRule="auto"/>
        <w:rPr>
          <w:lang w:val="en-AU"/>
        </w:rPr>
      </w:pPr>
      <w:r>
        <w:rPr>
          <w:u w:val="single"/>
          <w:lang w:val="en-AU"/>
        </w:rPr>
        <w:t xml:space="preserve">Section 32 </w:t>
      </w:r>
      <w:r w:rsidRPr="00F51DCA">
        <w:rPr>
          <w:u w:val="single"/>
          <w:lang w:val="en-AU"/>
        </w:rPr>
        <w:t>Legal privilege</w:t>
      </w:r>
      <w:r>
        <w:rPr>
          <w:lang w:val="en-AU"/>
        </w:rPr>
        <w:t xml:space="preserve"> - The Tribunal did not accept that the Report or Draft Reports contained information exempted by section 32. Although the authors of the Report were barristers, the Tribunal did not accept it was apparent that the Report contained legal advice to which privilege attaches.</w:t>
      </w:r>
    </w:p>
    <w:p w14:paraId="77C964EC" w14:textId="4F58E326" w:rsidR="00F51DCA" w:rsidRDefault="00F51DCA" w:rsidP="00BE5A4A">
      <w:pPr>
        <w:pStyle w:val="Body"/>
        <w:widowControl/>
        <w:spacing w:after="160" w:line="240" w:lineRule="auto"/>
        <w:rPr>
          <w:lang w:val="en-AU"/>
        </w:rPr>
      </w:pPr>
      <w:r>
        <w:rPr>
          <w:u w:val="single"/>
          <w:lang w:val="en-AU"/>
        </w:rPr>
        <w:t>Section 30 Internal working documents and f</w:t>
      </w:r>
      <w:r w:rsidRPr="00F51DCA">
        <w:rPr>
          <w:u w:val="single"/>
          <w:lang w:val="en-AU"/>
        </w:rPr>
        <w:t>actual material</w:t>
      </w:r>
      <w:r>
        <w:rPr>
          <w:lang w:val="en-AU"/>
        </w:rPr>
        <w:t xml:space="preserve"> – </w:t>
      </w:r>
      <w:r w:rsidR="001B7AA9">
        <w:rPr>
          <w:lang w:val="en-AU"/>
        </w:rPr>
        <w:t>Based on evidence about the documents, t</w:t>
      </w:r>
      <w:r>
        <w:rPr>
          <w:lang w:val="en-AU"/>
        </w:rPr>
        <w:t xml:space="preserve">he Tribunal found that it was apparent that some </w:t>
      </w:r>
      <w:r w:rsidR="001B7AA9">
        <w:rPr>
          <w:lang w:val="en-AU"/>
        </w:rPr>
        <w:t xml:space="preserve">documents </w:t>
      </w:r>
      <w:r>
        <w:rPr>
          <w:lang w:val="en-AU"/>
        </w:rPr>
        <w:t>contain</w:t>
      </w:r>
      <w:r w:rsidR="001B7AA9">
        <w:rPr>
          <w:lang w:val="en-AU"/>
        </w:rPr>
        <w:t>ed</w:t>
      </w:r>
      <w:r>
        <w:rPr>
          <w:lang w:val="en-AU"/>
        </w:rPr>
        <w:t xml:space="preserve"> purely factual information </w:t>
      </w:r>
      <w:r w:rsidR="001B7AA9">
        <w:rPr>
          <w:lang w:val="en-AU"/>
        </w:rPr>
        <w:t xml:space="preserve">that would </w:t>
      </w:r>
      <w:r>
        <w:rPr>
          <w:lang w:val="en-AU"/>
        </w:rPr>
        <w:t xml:space="preserve">not </w:t>
      </w:r>
      <w:r w:rsidR="001B7AA9">
        <w:rPr>
          <w:lang w:val="en-AU"/>
        </w:rPr>
        <w:t xml:space="preserve">be </w:t>
      </w:r>
      <w:r>
        <w:rPr>
          <w:lang w:val="en-AU"/>
        </w:rPr>
        <w:t>exempt under section 30.</w:t>
      </w:r>
    </w:p>
    <w:p w14:paraId="2E64B0B1" w14:textId="31531A3E" w:rsidR="00AF09DA" w:rsidRPr="00521745" w:rsidRDefault="00F51DCA" w:rsidP="00BE5A4A">
      <w:pPr>
        <w:pStyle w:val="Body"/>
        <w:widowControl/>
        <w:spacing w:after="120" w:line="240" w:lineRule="auto"/>
        <w:rPr>
          <w:lang w:val="en-AU"/>
        </w:rPr>
      </w:pPr>
      <w:r>
        <w:rPr>
          <w:b/>
          <w:lang w:val="en-AU"/>
        </w:rPr>
        <w:t xml:space="preserve">Would </w:t>
      </w:r>
      <w:r w:rsidR="00AF09DA">
        <w:rPr>
          <w:b/>
          <w:lang w:val="en-AU"/>
        </w:rPr>
        <w:t>the FOI applicant wish to have access to an edited copy of the documents?</w:t>
      </w:r>
    </w:p>
    <w:p w14:paraId="048B8966" w14:textId="3CEEFB68" w:rsidR="0041427E" w:rsidRPr="00797D2D" w:rsidRDefault="0041427E" w:rsidP="00BE5A4A">
      <w:pPr>
        <w:pStyle w:val="Body"/>
        <w:widowControl/>
        <w:spacing w:after="160" w:line="240" w:lineRule="auto"/>
        <w:rPr>
          <w:lang w:val="en-AU"/>
        </w:rPr>
      </w:pPr>
      <w:r>
        <w:rPr>
          <w:lang w:val="en-AU"/>
        </w:rPr>
        <w:t xml:space="preserve">Although the Tribunal was satisfied it was </w:t>
      </w:r>
      <w:r w:rsidR="00A4730B">
        <w:rPr>
          <w:lang w:val="en-AU"/>
        </w:rPr>
        <w:t xml:space="preserve">not </w:t>
      </w:r>
      <w:r>
        <w:rPr>
          <w:lang w:val="en-AU"/>
        </w:rPr>
        <w:t xml:space="preserve">apparent that all of the documents captured by the request would be exempt, it </w:t>
      </w:r>
      <w:r w:rsidR="001B7AA9">
        <w:rPr>
          <w:lang w:val="en-AU"/>
        </w:rPr>
        <w:t xml:space="preserve">also </w:t>
      </w:r>
      <w:r>
        <w:rPr>
          <w:lang w:val="en-AU"/>
        </w:rPr>
        <w:t>considered section 25A(5)(b).</w:t>
      </w:r>
    </w:p>
    <w:p w14:paraId="57922EE4" w14:textId="655897A7" w:rsidR="00A4730B" w:rsidRDefault="00A4730B" w:rsidP="00BE5A4A">
      <w:pPr>
        <w:pStyle w:val="Body"/>
        <w:widowControl/>
        <w:spacing w:after="160" w:line="240" w:lineRule="auto"/>
        <w:rPr>
          <w:lang w:val="en-AU"/>
        </w:rPr>
      </w:pPr>
      <w:r>
        <w:rPr>
          <w:lang w:val="en-AU"/>
        </w:rPr>
        <w:t xml:space="preserve">The VLSC contended </w:t>
      </w:r>
      <w:r w:rsidR="007D76D7">
        <w:rPr>
          <w:lang w:val="en-AU"/>
        </w:rPr>
        <w:t>the FOI applicant had not positively agreed to receive edited copies of document</w:t>
      </w:r>
      <w:r w:rsidR="00834A8D">
        <w:rPr>
          <w:lang w:val="en-AU"/>
        </w:rPr>
        <w:t>s</w:t>
      </w:r>
      <w:r w:rsidR="007D76D7">
        <w:rPr>
          <w:lang w:val="en-AU"/>
        </w:rPr>
        <w:t xml:space="preserve"> </w:t>
      </w:r>
      <w:r w:rsidR="00834A8D">
        <w:rPr>
          <w:lang w:val="en-AU"/>
        </w:rPr>
        <w:t xml:space="preserve">to the VLSC and that any concession </w:t>
      </w:r>
      <w:r w:rsidR="00DC09EE">
        <w:rPr>
          <w:lang w:val="en-AU"/>
        </w:rPr>
        <w:t xml:space="preserve">to this effect made by the FOI applicant </w:t>
      </w:r>
      <w:r w:rsidR="00834A8D">
        <w:rPr>
          <w:lang w:val="en-AU"/>
        </w:rPr>
        <w:t xml:space="preserve">to OVIC should be disregarded. The VLSC </w:t>
      </w:r>
      <w:r w:rsidR="00BE5A4A">
        <w:rPr>
          <w:lang w:val="en-AU"/>
        </w:rPr>
        <w:t xml:space="preserve">suggested that </w:t>
      </w:r>
      <w:r w:rsidR="00834A8D">
        <w:rPr>
          <w:lang w:val="en-AU"/>
        </w:rPr>
        <w:t xml:space="preserve">it was “too late” to agree to edited copies </w:t>
      </w:r>
      <w:r w:rsidR="00BE5A4A">
        <w:rPr>
          <w:lang w:val="en-AU"/>
        </w:rPr>
        <w:t>at the Tribunal.</w:t>
      </w:r>
    </w:p>
    <w:p w14:paraId="50CEEBFE" w14:textId="58BE7188" w:rsidR="00834A8D" w:rsidRDefault="00AF09DA" w:rsidP="00BE5A4A">
      <w:pPr>
        <w:pStyle w:val="Body"/>
        <w:widowControl/>
        <w:spacing w:after="160" w:line="240" w:lineRule="auto"/>
        <w:rPr>
          <w:lang w:val="en-AU"/>
        </w:rPr>
      </w:pPr>
      <w:r>
        <w:rPr>
          <w:lang w:val="en-AU"/>
        </w:rPr>
        <w:t xml:space="preserve">The Tribunal </w:t>
      </w:r>
      <w:r w:rsidR="00834A8D">
        <w:rPr>
          <w:lang w:val="en-AU"/>
        </w:rPr>
        <w:t xml:space="preserve">disagreed, finding that standing in the shoes of the decision-maker, it could </w:t>
      </w:r>
      <w:r>
        <w:rPr>
          <w:lang w:val="en-AU"/>
        </w:rPr>
        <w:t xml:space="preserve">take account of information up to the date of the hearing and inform itself as it sees fit. </w:t>
      </w:r>
    </w:p>
    <w:p w14:paraId="1467648C" w14:textId="7747F76E" w:rsidR="00834A8D" w:rsidRDefault="00834A8D" w:rsidP="00BE5A4A">
      <w:pPr>
        <w:pStyle w:val="Body"/>
        <w:widowControl/>
        <w:spacing w:after="160" w:line="240" w:lineRule="auto"/>
        <w:rPr>
          <w:lang w:val="en-AU"/>
        </w:rPr>
      </w:pPr>
      <w:r>
        <w:rPr>
          <w:lang w:val="en-AU"/>
        </w:rPr>
        <w:t xml:space="preserve">The Tribunal </w:t>
      </w:r>
      <w:r w:rsidR="001B7AA9">
        <w:rPr>
          <w:lang w:val="en-AU"/>
        </w:rPr>
        <w:t xml:space="preserve">found </w:t>
      </w:r>
      <w:r>
        <w:rPr>
          <w:lang w:val="en-AU"/>
        </w:rPr>
        <w:t xml:space="preserve">that section 25A(5)(b)(ii) required it to decide whether it was apparent that the FOI applicant “would </w:t>
      </w:r>
      <w:r w:rsidRPr="00834A8D">
        <w:rPr>
          <w:u w:val="single"/>
          <w:lang w:val="en-AU"/>
        </w:rPr>
        <w:t>not wish</w:t>
      </w:r>
      <w:r>
        <w:rPr>
          <w:lang w:val="en-AU"/>
        </w:rPr>
        <w:t xml:space="preserve"> to have access to an edited copy of the documents”</w:t>
      </w:r>
      <w:r w:rsidR="001B7AA9">
        <w:rPr>
          <w:lang w:val="en-AU"/>
        </w:rPr>
        <w:t>, as opposed to requiring a positive indication the applicant did agree to edited documents</w:t>
      </w:r>
      <w:r>
        <w:rPr>
          <w:lang w:val="en-AU"/>
        </w:rPr>
        <w:t xml:space="preserve">. </w:t>
      </w:r>
      <w:r w:rsidR="001B7AA9">
        <w:rPr>
          <w:lang w:val="en-AU"/>
        </w:rPr>
        <w:t>In this case, t</w:t>
      </w:r>
      <w:r>
        <w:rPr>
          <w:lang w:val="en-AU"/>
        </w:rPr>
        <w:t xml:space="preserve">he Tribunal concluded </w:t>
      </w:r>
      <w:r w:rsidR="001B7AA9">
        <w:rPr>
          <w:lang w:val="en-AU"/>
        </w:rPr>
        <w:t xml:space="preserve">section 25A(5)(b) </w:t>
      </w:r>
      <w:r>
        <w:rPr>
          <w:lang w:val="en-AU"/>
        </w:rPr>
        <w:t>had not been engaged.</w:t>
      </w:r>
    </w:p>
    <w:p w14:paraId="074B1731" w14:textId="3733E89A" w:rsidR="00AF09DA" w:rsidRDefault="007D76D7" w:rsidP="00BE5A4A">
      <w:pPr>
        <w:pStyle w:val="Body"/>
        <w:keepNext/>
        <w:widowControl/>
        <w:spacing w:after="120" w:line="240" w:lineRule="auto"/>
        <w:rPr>
          <w:b/>
          <w:lang w:val="en-AU"/>
        </w:rPr>
      </w:pPr>
      <w:r>
        <w:rPr>
          <w:b/>
          <w:lang w:val="en-AU"/>
        </w:rPr>
        <w:t>Conclusion</w:t>
      </w:r>
    </w:p>
    <w:p w14:paraId="41E731D1" w14:textId="70A6C76B" w:rsidR="007D76D7" w:rsidRDefault="007D76D7" w:rsidP="00BE5A4A">
      <w:pPr>
        <w:pStyle w:val="Body"/>
        <w:widowControl/>
        <w:spacing w:after="160" w:line="240" w:lineRule="auto"/>
        <w:rPr>
          <w:lang w:val="en-AU"/>
        </w:rPr>
      </w:pPr>
      <w:r>
        <w:rPr>
          <w:lang w:val="en-AU"/>
        </w:rPr>
        <w:t>The Tribunal was not satisfied that section 25</w:t>
      </w:r>
      <w:proofErr w:type="gramStart"/>
      <w:r>
        <w:rPr>
          <w:lang w:val="en-AU"/>
        </w:rPr>
        <w:t>A(</w:t>
      </w:r>
      <w:proofErr w:type="gramEnd"/>
      <w:r>
        <w:rPr>
          <w:lang w:val="en-AU"/>
        </w:rPr>
        <w:t>5) of the FOI Act applied to the documents captured by the FOI applicant’s request. Accordingly, the Tribunal ordered the VLSC to process the FOI request.</w:t>
      </w:r>
    </w:p>
    <w:p w14:paraId="559968F5" w14:textId="77777777" w:rsidR="00BA7390" w:rsidRPr="005F0419" w:rsidRDefault="00BA7390">
      <w:pPr>
        <w:keepNext/>
        <w:keepLines/>
        <w:pBdr>
          <w:top w:val="single" w:sz="4" w:space="6" w:color="430098"/>
        </w:pBdr>
        <w:spacing w:before="120"/>
        <w:outlineLvl w:val="0"/>
        <w:rPr>
          <w:rFonts w:cs="PostGrotesk-Medium"/>
          <w:color w:val="430098"/>
          <w:sz w:val="28"/>
          <w:szCs w:val="28"/>
          <w:lang w:val="en-AU"/>
        </w:rPr>
      </w:pPr>
      <w:r w:rsidRPr="005F0419">
        <w:rPr>
          <w:rFonts w:cs="PostGrotesk-Medium"/>
          <w:color w:val="430098"/>
          <w:sz w:val="28"/>
          <w:szCs w:val="28"/>
          <w:lang w:val="en-AU"/>
        </w:rPr>
        <w:t>Further Information</w:t>
      </w:r>
    </w:p>
    <w:p w14:paraId="795C66A0" w14:textId="77777777" w:rsidR="00BA7390" w:rsidRPr="005F0419" w:rsidRDefault="00BA7390">
      <w:pPr>
        <w:keepNext/>
        <w:keepLines/>
        <w:pBdr>
          <w:top w:val="single" w:sz="4" w:space="6" w:color="430098"/>
        </w:pBdr>
        <w:spacing w:before="120" w:after="240"/>
        <w:outlineLvl w:val="0"/>
        <w:rPr>
          <w:rFonts w:cs="PostGrotesk-Medium"/>
          <w:color w:val="430098"/>
          <w:sz w:val="28"/>
          <w:szCs w:val="28"/>
          <w:lang w:val="en-AU"/>
        </w:rPr>
        <w:sectPr w:rsidR="00BA7390" w:rsidRPr="005F0419" w:rsidSect="001B7AA9">
          <w:footerReference w:type="default" r:id="rId8"/>
          <w:headerReference w:type="first" r:id="rId9"/>
          <w:type w:val="continuous"/>
          <w:pgSz w:w="11900" w:h="16840"/>
          <w:pgMar w:top="896" w:right="1134" w:bottom="709" w:left="1134" w:header="510" w:footer="319" w:gutter="0"/>
          <w:cols w:space="720"/>
          <w:titlePg/>
          <w:docGrid w:linePitch="360"/>
        </w:sectPr>
      </w:pPr>
    </w:p>
    <w:p w14:paraId="439F5EB8" w14:textId="460E964C" w:rsidR="00795CCC" w:rsidRPr="005F0419" w:rsidRDefault="00BA7390">
      <w:pPr>
        <w:pStyle w:val="Disclaimer"/>
        <w:rPr>
          <w:lang w:val="en-AU"/>
        </w:rPr>
      </w:pPr>
      <w:r w:rsidRPr="005F0419">
        <w:rPr>
          <w:b/>
          <w:color w:val="430098"/>
          <w:lang w:val="en-AU"/>
        </w:rPr>
        <w:t>t:</w:t>
      </w:r>
      <w:r w:rsidRPr="005F0419">
        <w:rPr>
          <w:lang w:val="en-AU"/>
        </w:rPr>
        <w:tab/>
        <w:t xml:space="preserve">1300 00 6842 </w:t>
      </w:r>
      <w:r w:rsidRPr="005F0419">
        <w:rPr>
          <w:lang w:val="en-AU"/>
        </w:rPr>
        <w:br/>
      </w:r>
      <w:r w:rsidRPr="005F0419">
        <w:rPr>
          <w:b/>
          <w:color w:val="430098"/>
          <w:lang w:val="en-AU"/>
        </w:rPr>
        <w:t>e:</w:t>
      </w:r>
      <w:r w:rsidRPr="005F0419">
        <w:rPr>
          <w:lang w:val="en-AU"/>
        </w:rPr>
        <w:tab/>
        <w:t>enquiries@ovic.vic.gov.au</w:t>
      </w:r>
      <w:r w:rsidRPr="005F0419">
        <w:rPr>
          <w:lang w:val="en-AU"/>
        </w:rPr>
        <w:br/>
      </w:r>
      <w:r w:rsidRPr="005F0419">
        <w:rPr>
          <w:b/>
          <w:color w:val="430098"/>
          <w:lang w:val="en-AU"/>
        </w:rPr>
        <w:t>w:</w:t>
      </w:r>
      <w:r w:rsidRPr="005F0419">
        <w:rPr>
          <w:lang w:val="en-AU"/>
        </w:rPr>
        <w:tab/>
        <w:t>ovic.vic.gov.au</w:t>
      </w:r>
      <w:r w:rsidRPr="005F0419">
        <w:rPr>
          <w:rFonts w:cs="PostGrotesk-Medium"/>
          <w:b/>
          <w:lang w:val="en-AU"/>
        </w:rPr>
        <w:t xml:space="preserve"> </w:t>
      </w:r>
      <w:r w:rsidRPr="005F0419">
        <w:rPr>
          <w:rFonts w:cs="PostGrotesk-Medium"/>
          <w:b/>
          <w:lang w:val="en-AU"/>
        </w:rPr>
        <w:br w:type="column"/>
      </w:r>
      <w:r w:rsidRPr="005F0419">
        <w:rPr>
          <w:lang w:val="en-AU"/>
        </w:rPr>
        <w:t>This case note is general in nature and does not constitute legal advice.</w:t>
      </w:r>
    </w:p>
    <w:sectPr w:rsidR="00795CCC" w:rsidRPr="005F0419" w:rsidSect="00BA008A">
      <w:headerReference w:type="first" r:id="rId10"/>
      <w:footerReference w:type="first" r:id="rId11"/>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BBF0" w14:textId="77777777" w:rsidR="00D50317" w:rsidRDefault="00D50317" w:rsidP="00190E33">
      <w:r>
        <w:separator/>
      </w:r>
    </w:p>
  </w:endnote>
  <w:endnote w:type="continuationSeparator" w:id="0">
    <w:p w14:paraId="71FBF22F" w14:textId="77777777" w:rsidR="00D50317" w:rsidRDefault="00D50317" w:rsidP="001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94D" w14:textId="735D2B49" w:rsidR="00E26F8B" w:rsidRPr="003B6B6A" w:rsidRDefault="00E26F8B"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sidR="00956C57">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9DDD" w14:textId="77777777" w:rsidR="00E26F8B" w:rsidRDefault="00E26F8B"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142C" w14:textId="77777777" w:rsidR="00D50317" w:rsidRDefault="00D50317" w:rsidP="00190E33">
      <w:r>
        <w:separator/>
      </w:r>
    </w:p>
  </w:footnote>
  <w:footnote w:type="continuationSeparator" w:id="0">
    <w:p w14:paraId="0FA5091B" w14:textId="77777777" w:rsidR="00D50317" w:rsidRDefault="00D50317" w:rsidP="00190E33">
      <w:r>
        <w:continuationSeparator/>
      </w:r>
    </w:p>
  </w:footnote>
  <w:footnote w:id="1">
    <w:p w14:paraId="60C05796" w14:textId="295BDD1C" w:rsidR="00185611" w:rsidRPr="00131F6C" w:rsidRDefault="00185611" w:rsidP="00185611">
      <w:pPr>
        <w:pStyle w:val="FootnoteText"/>
        <w:rPr>
          <w:sz w:val="18"/>
          <w:szCs w:val="18"/>
          <w:lang w:val="en-AU"/>
        </w:rPr>
      </w:pPr>
      <w:r w:rsidRPr="00131F6C">
        <w:rPr>
          <w:rStyle w:val="FootnoteReference"/>
          <w:sz w:val="18"/>
          <w:szCs w:val="18"/>
        </w:rPr>
        <w:footnoteRef/>
      </w:r>
      <w:r w:rsidRPr="00131F6C">
        <w:rPr>
          <w:sz w:val="18"/>
          <w:szCs w:val="18"/>
        </w:rPr>
        <w:t xml:space="preserve"> </w:t>
      </w:r>
      <w:r>
        <w:rPr>
          <w:sz w:val="18"/>
          <w:szCs w:val="18"/>
        </w:rPr>
        <w:t xml:space="preserve">See </w:t>
      </w:r>
      <w:r w:rsidRPr="00131F6C">
        <w:rPr>
          <w:i/>
          <w:iCs/>
          <w:sz w:val="18"/>
          <w:szCs w:val="18"/>
          <w:lang w:val="en-AU"/>
        </w:rPr>
        <w:t>Knight v Corrections Victoria</w:t>
      </w:r>
      <w:r w:rsidRPr="00131F6C">
        <w:rPr>
          <w:sz w:val="18"/>
          <w:szCs w:val="18"/>
          <w:lang w:val="en-AU"/>
        </w:rPr>
        <w:t xml:space="preserve"> [2010] VSC 338 </w:t>
      </w:r>
      <w:r>
        <w:rPr>
          <w:sz w:val="18"/>
          <w:szCs w:val="18"/>
          <w:lang w:val="en-AU"/>
        </w:rPr>
        <w:t xml:space="preserve">at </w:t>
      </w:r>
      <w:r w:rsidRPr="00131F6C">
        <w:rPr>
          <w:sz w:val="18"/>
          <w:szCs w:val="18"/>
          <w:lang w:val="en-AU"/>
        </w:rPr>
        <w:t>[37].</w:t>
      </w:r>
    </w:p>
  </w:footnote>
  <w:footnote w:id="2">
    <w:p w14:paraId="0ECD34EA" w14:textId="77777777" w:rsidR="00F51DCA" w:rsidRPr="00822FE0" w:rsidRDefault="00F51DCA" w:rsidP="00F51DCA">
      <w:pPr>
        <w:pStyle w:val="FootnoteText"/>
        <w:rPr>
          <w:lang w:val="en-AU"/>
        </w:rPr>
      </w:pPr>
      <w:r>
        <w:rPr>
          <w:rStyle w:val="FootnoteReference"/>
        </w:rPr>
        <w:footnoteRef/>
      </w:r>
      <w:r>
        <w:t xml:space="preserve"> </w:t>
      </w:r>
      <w:proofErr w:type="spellStart"/>
      <w:r w:rsidRPr="006C2AB0">
        <w:rPr>
          <w:i/>
          <w:iCs/>
          <w:lang w:val="en-AU"/>
        </w:rPr>
        <w:t>Gull</w:t>
      </w:r>
      <w:r>
        <w:rPr>
          <w:i/>
          <w:iCs/>
          <w:lang w:val="en-AU"/>
        </w:rPr>
        <w:t>q</w:t>
      </w:r>
      <w:r w:rsidRPr="006C2AB0">
        <w:rPr>
          <w:i/>
          <w:iCs/>
          <w:lang w:val="en-AU"/>
        </w:rPr>
        <w:t>uist</w:t>
      </w:r>
      <w:proofErr w:type="spellEnd"/>
      <w:r w:rsidRPr="006C2AB0">
        <w:rPr>
          <w:i/>
          <w:iCs/>
          <w:lang w:val="en-AU"/>
        </w:rPr>
        <w:t xml:space="preserve"> v Victorian Legal Services Commissioner </w:t>
      </w:r>
      <w:r>
        <w:rPr>
          <w:lang w:val="en-AU"/>
        </w:rPr>
        <w:t>[2017] VCAT 764.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5899" w14:textId="3AF83D07" w:rsidR="00E26F8B" w:rsidRPr="00D70A8A" w:rsidRDefault="00E26F8B"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D9C210B" wp14:editId="59AC66F4">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1" name="Picture 21"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15DFAA71" w14:textId="785CB7ED" w:rsidR="00E26F8B" w:rsidRDefault="00E26F8B"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45F6952D" wp14:editId="573A11B1">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2" name="Picture 22"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09AF4541" w14:textId="2E71CB57" w:rsidR="00E26F8B" w:rsidRPr="00956C57" w:rsidRDefault="0099239B" w:rsidP="00362F36">
    <w:pPr>
      <w:pStyle w:val="DocumentTitle"/>
      <w:spacing w:before="0"/>
      <w:rPr>
        <w:color w:val="555559"/>
        <w:sz w:val="30"/>
        <w:szCs w:val="30"/>
      </w:rPr>
    </w:pPr>
    <w:r w:rsidRPr="0099239B">
      <w:rPr>
        <w:rFonts w:ascii="Calibri" w:hAnsi="Calibri"/>
        <w:bCs/>
        <w:i/>
        <w:iCs/>
        <w:sz w:val="36"/>
        <w:szCs w:val="36"/>
        <w:lang w:val="en"/>
      </w:rPr>
      <w:t>Victorian Legal Services Commissioner v Grahame (No 2</w:t>
    </w:r>
    <w:r>
      <w:rPr>
        <w:rFonts w:ascii="Calibri" w:hAnsi="Calibri"/>
        <w:bCs/>
        <w:sz w:val="36"/>
        <w:szCs w:val="36"/>
        <w:lang w:val="en"/>
      </w:rPr>
      <w:t>) (Review and Regulation) [2019] VCAT 1878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687F" w14:textId="77777777" w:rsidR="00E26F8B" w:rsidRPr="0070388B" w:rsidRDefault="00E26F8B"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58D"/>
    <w:multiLevelType w:val="hybridMultilevel"/>
    <w:tmpl w:val="BCA244A4"/>
    <w:lvl w:ilvl="0" w:tplc="A72CC39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835AB3"/>
    <w:multiLevelType w:val="hybridMultilevel"/>
    <w:tmpl w:val="B0568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D2717A"/>
    <w:multiLevelType w:val="hybridMultilevel"/>
    <w:tmpl w:val="493E5C1C"/>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6F5743"/>
    <w:multiLevelType w:val="hybridMultilevel"/>
    <w:tmpl w:val="C7361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EF40D6"/>
    <w:multiLevelType w:val="hybridMultilevel"/>
    <w:tmpl w:val="20D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24CD6"/>
    <w:multiLevelType w:val="hybridMultilevel"/>
    <w:tmpl w:val="77E4D5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0F442A"/>
    <w:multiLevelType w:val="hybridMultilevel"/>
    <w:tmpl w:val="99829A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425096"/>
    <w:multiLevelType w:val="hybridMultilevel"/>
    <w:tmpl w:val="A6D4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1B1E94"/>
    <w:multiLevelType w:val="hybridMultilevel"/>
    <w:tmpl w:val="AA3685B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5BEA"/>
    <w:multiLevelType w:val="hybridMultilevel"/>
    <w:tmpl w:val="DE120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166A"/>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6B2C"/>
    <w:multiLevelType w:val="hybridMultilevel"/>
    <w:tmpl w:val="6A0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0B2"/>
    <w:multiLevelType w:val="hybridMultilevel"/>
    <w:tmpl w:val="2F040CF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74523C5"/>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223"/>
    <w:multiLevelType w:val="hybridMultilevel"/>
    <w:tmpl w:val="5CAEF3EA"/>
    <w:lvl w:ilvl="0" w:tplc="0C09000F">
      <w:start w:val="1"/>
      <w:numFmt w:val="decimal"/>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5" w15:restartNumberingAfterBreak="0">
    <w:nsid w:val="445B13F8"/>
    <w:multiLevelType w:val="hybridMultilevel"/>
    <w:tmpl w:val="91329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2058D0"/>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4576"/>
    <w:multiLevelType w:val="hybridMultilevel"/>
    <w:tmpl w:val="0B0E8BF8"/>
    <w:lvl w:ilvl="0" w:tplc="34609220">
      <w:start w:val="1"/>
      <w:numFmt w:val="bullet"/>
      <w:lvlText w:val=""/>
      <w:lvlJc w:val="left"/>
      <w:pPr>
        <w:ind w:left="76" w:hanging="360"/>
      </w:pPr>
      <w:rPr>
        <w:rFonts w:ascii="Symbol" w:hAnsi="Symbol" w:hint="default"/>
        <w:sz w:val="18"/>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8" w15:restartNumberingAfterBreak="0">
    <w:nsid w:val="4D2E30F6"/>
    <w:multiLevelType w:val="hybridMultilevel"/>
    <w:tmpl w:val="18304E9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FB7421"/>
    <w:multiLevelType w:val="hybridMultilevel"/>
    <w:tmpl w:val="B4CA4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5A468E"/>
    <w:multiLevelType w:val="hybridMultilevel"/>
    <w:tmpl w:val="E8EE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823A6"/>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0B1D"/>
    <w:multiLevelType w:val="hybridMultilevel"/>
    <w:tmpl w:val="1AC2E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7C7DC9"/>
    <w:multiLevelType w:val="hybridMultilevel"/>
    <w:tmpl w:val="54A84848"/>
    <w:lvl w:ilvl="0" w:tplc="5BD8D950">
      <w:start w:val="1"/>
      <w:numFmt w:val="decimal"/>
      <w:lvlText w:val="%1."/>
      <w:lvlJc w:val="left"/>
      <w:pPr>
        <w:ind w:left="765" w:hanging="360"/>
      </w:pPr>
      <w:rPr>
        <w:rFonts w:ascii="Calibri" w:eastAsia="Calibri" w:hAnsi="Calibri" w:cs="PostGrotesk-Book"/>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4" w15:restartNumberingAfterBreak="0">
    <w:nsid w:val="6BB248FF"/>
    <w:multiLevelType w:val="hybridMultilevel"/>
    <w:tmpl w:val="4F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82894"/>
    <w:multiLevelType w:val="hybridMultilevel"/>
    <w:tmpl w:val="9B1A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A9293A"/>
    <w:multiLevelType w:val="hybridMultilevel"/>
    <w:tmpl w:val="13808EDA"/>
    <w:lvl w:ilvl="0" w:tplc="5FF83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24A54"/>
    <w:multiLevelType w:val="hybridMultilevel"/>
    <w:tmpl w:val="663EF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2208B9"/>
    <w:multiLevelType w:val="hybridMultilevel"/>
    <w:tmpl w:val="8528D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2"/>
  </w:num>
  <w:num w:numId="4">
    <w:abstractNumId w:val="1"/>
  </w:num>
  <w:num w:numId="5">
    <w:abstractNumId w:val="19"/>
  </w:num>
  <w:num w:numId="6">
    <w:abstractNumId w:val="22"/>
  </w:num>
  <w:num w:numId="7">
    <w:abstractNumId w:val="20"/>
  </w:num>
  <w:num w:numId="8">
    <w:abstractNumId w:val="28"/>
  </w:num>
  <w:num w:numId="9">
    <w:abstractNumId w:val="11"/>
  </w:num>
  <w:num w:numId="10">
    <w:abstractNumId w:val="9"/>
  </w:num>
  <w:num w:numId="11">
    <w:abstractNumId w:val="13"/>
  </w:num>
  <w:num w:numId="12">
    <w:abstractNumId w:val="21"/>
  </w:num>
  <w:num w:numId="13">
    <w:abstractNumId w:val="4"/>
  </w:num>
  <w:num w:numId="14">
    <w:abstractNumId w:val="24"/>
  </w:num>
  <w:num w:numId="15">
    <w:abstractNumId w:val="25"/>
  </w:num>
  <w:num w:numId="16">
    <w:abstractNumId w:val="7"/>
  </w:num>
  <w:num w:numId="17">
    <w:abstractNumId w:val="6"/>
  </w:num>
  <w:num w:numId="18">
    <w:abstractNumId w:val="18"/>
  </w:num>
  <w:num w:numId="19">
    <w:abstractNumId w:val="26"/>
  </w:num>
  <w:num w:numId="20">
    <w:abstractNumId w:val="2"/>
  </w:num>
  <w:num w:numId="21">
    <w:abstractNumId w:val="8"/>
  </w:num>
  <w:num w:numId="22">
    <w:abstractNumId w:val="16"/>
  </w:num>
  <w:num w:numId="23">
    <w:abstractNumId w:val="10"/>
  </w:num>
  <w:num w:numId="24">
    <w:abstractNumId w:val="23"/>
  </w:num>
  <w:num w:numId="25">
    <w:abstractNumId w:val="14"/>
  </w:num>
  <w:num w:numId="26">
    <w:abstractNumId w:val="5"/>
  </w:num>
  <w:num w:numId="27">
    <w:abstractNumId w:val="2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0"/>
    <w:rsid w:val="00000B4B"/>
    <w:rsid w:val="000072E4"/>
    <w:rsid w:val="000125B0"/>
    <w:rsid w:val="000130A0"/>
    <w:rsid w:val="00021D9E"/>
    <w:rsid w:val="00023034"/>
    <w:rsid w:val="00026145"/>
    <w:rsid w:val="00031C97"/>
    <w:rsid w:val="0003391E"/>
    <w:rsid w:val="0003541D"/>
    <w:rsid w:val="000367C3"/>
    <w:rsid w:val="00040801"/>
    <w:rsid w:val="00041076"/>
    <w:rsid w:val="00042D6F"/>
    <w:rsid w:val="000459CC"/>
    <w:rsid w:val="00051C03"/>
    <w:rsid w:val="000521AD"/>
    <w:rsid w:val="00052EAC"/>
    <w:rsid w:val="000546EB"/>
    <w:rsid w:val="000649BD"/>
    <w:rsid w:val="000730E0"/>
    <w:rsid w:val="000732A6"/>
    <w:rsid w:val="00077A18"/>
    <w:rsid w:val="00084613"/>
    <w:rsid w:val="000858B8"/>
    <w:rsid w:val="00086730"/>
    <w:rsid w:val="0009032A"/>
    <w:rsid w:val="000904A2"/>
    <w:rsid w:val="00094AC4"/>
    <w:rsid w:val="000952CB"/>
    <w:rsid w:val="00097648"/>
    <w:rsid w:val="00097E01"/>
    <w:rsid w:val="000A0B4F"/>
    <w:rsid w:val="000A32D3"/>
    <w:rsid w:val="000A404E"/>
    <w:rsid w:val="000B716F"/>
    <w:rsid w:val="000C05EE"/>
    <w:rsid w:val="000C34FC"/>
    <w:rsid w:val="000F2103"/>
    <w:rsid w:val="001017A1"/>
    <w:rsid w:val="00107C68"/>
    <w:rsid w:val="001153CC"/>
    <w:rsid w:val="00131BEC"/>
    <w:rsid w:val="00131F6C"/>
    <w:rsid w:val="00132563"/>
    <w:rsid w:val="00132AF5"/>
    <w:rsid w:val="0013393D"/>
    <w:rsid w:val="0013766C"/>
    <w:rsid w:val="001401DB"/>
    <w:rsid w:val="00141ED1"/>
    <w:rsid w:val="00146A73"/>
    <w:rsid w:val="00150162"/>
    <w:rsid w:val="00150F16"/>
    <w:rsid w:val="001558A4"/>
    <w:rsid w:val="00157B94"/>
    <w:rsid w:val="001605C5"/>
    <w:rsid w:val="00162AC5"/>
    <w:rsid w:val="00165ACA"/>
    <w:rsid w:val="00167A14"/>
    <w:rsid w:val="001702C9"/>
    <w:rsid w:val="00177E18"/>
    <w:rsid w:val="0018095A"/>
    <w:rsid w:val="00180FCF"/>
    <w:rsid w:val="00185611"/>
    <w:rsid w:val="00190CEB"/>
    <w:rsid w:val="00190E33"/>
    <w:rsid w:val="00193319"/>
    <w:rsid w:val="001936AA"/>
    <w:rsid w:val="00194900"/>
    <w:rsid w:val="001953BE"/>
    <w:rsid w:val="00195AB2"/>
    <w:rsid w:val="001964C0"/>
    <w:rsid w:val="001A191D"/>
    <w:rsid w:val="001A6E2B"/>
    <w:rsid w:val="001B6155"/>
    <w:rsid w:val="001B6646"/>
    <w:rsid w:val="001B7AA9"/>
    <w:rsid w:val="001C2BD6"/>
    <w:rsid w:val="001C2C4B"/>
    <w:rsid w:val="001C4D9F"/>
    <w:rsid w:val="001C635F"/>
    <w:rsid w:val="001D0C1F"/>
    <w:rsid w:val="001D112D"/>
    <w:rsid w:val="001D3811"/>
    <w:rsid w:val="001D6E62"/>
    <w:rsid w:val="001E000E"/>
    <w:rsid w:val="001E3CAD"/>
    <w:rsid w:val="001E6A95"/>
    <w:rsid w:val="001F02F8"/>
    <w:rsid w:val="001F0DC1"/>
    <w:rsid w:val="002007F8"/>
    <w:rsid w:val="00211C96"/>
    <w:rsid w:val="00213613"/>
    <w:rsid w:val="00216F46"/>
    <w:rsid w:val="002201C4"/>
    <w:rsid w:val="00221FEF"/>
    <w:rsid w:val="002248C9"/>
    <w:rsid w:val="0023072D"/>
    <w:rsid w:val="002370E9"/>
    <w:rsid w:val="002377A6"/>
    <w:rsid w:val="00240EE3"/>
    <w:rsid w:val="00241667"/>
    <w:rsid w:val="00242777"/>
    <w:rsid w:val="00242DAD"/>
    <w:rsid w:val="002456A2"/>
    <w:rsid w:val="00254D33"/>
    <w:rsid w:val="002575F7"/>
    <w:rsid w:val="00262D56"/>
    <w:rsid w:val="00266157"/>
    <w:rsid w:val="00274299"/>
    <w:rsid w:val="002760A9"/>
    <w:rsid w:val="00281C14"/>
    <w:rsid w:val="00290829"/>
    <w:rsid w:val="00294719"/>
    <w:rsid w:val="00296CAD"/>
    <w:rsid w:val="002A0650"/>
    <w:rsid w:val="002A0C2C"/>
    <w:rsid w:val="002A4833"/>
    <w:rsid w:val="002A62EE"/>
    <w:rsid w:val="002B0525"/>
    <w:rsid w:val="002B49E3"/>
    <w:rsid w:val="002B49F2"/>
    <w:rsid w:val="002B627E"/>
    <w:rsid w:val="002B6DC2"/>
    <w:rsid w:val="002B79B4"/>
    <w:rsid w:val="002C51DA"/>
    <w:rsid w:val="002D1FDC"/>
    <w:rsid w:val="002E1835"/>
    <w:rsid w:val="002E3523"/>
    <w:rsid w:val="002E3644"/>
    <w:rsid w:val="002E373B"/>
    <w:rsid w:val="002E4D0D"/>
    <w:rsid w:val="002E75FE"/>
    <w:rsid w:val="002E79AF"/>
    <w:rsid w:val="002F0D33"/>
    <w:rsid w:val="002F1A8D"/>
    <w:rsid w:val="002F2498"/>
    <w:rsid w:val="002F4EC6"/>
    <w:rsid w:val="002F7AEC"/>
    <w:rsid w:val="0030296C"/>
    <w:rsid w:val="00306748"/>
    <w:rsid w:val="003248CC"/>
    <w:rsid w:val="00326F1A"/>
    <w:rsid w:val="003353AA"/>
    <w:rsid w:val="0033667A"/>
    <w:rsid w:val="00344F97"/>
    <w:rsid w:val="00347483"/>
    <w:rsid w:val="00347570"/>
    <w:rsid w:val="00352322"/>
    <w:rsid w:val="00357470"/>
    <w:rsid w:val="00362F36"/>
    <w:rsid w:val="00364C63"/>
    <w:rsid w:val="00371B4B"/>
    <w:rsid w:val="0037332A"/>
    <w:rsid w:val="00375F41"/>
    <w:rsid w:val="003800C9"/>
    <w:rsid w:val="00383B17"/>
    <w:rsid w:val="00385DD2"/>
    <w:rsid w:val="00397095"/>
    <w:rsid w:val="003B4A2D"/>
    <w:rsid w:val="003B712B"/>
    <w:rsid w:val="003C588D"/>
    <w:rsid w:val="003D12F6"/>
    <w:rsid w:val="003D22A8"/>
    <w:rsid w:val="003D30C7"/>
    <w:rsid w:val="003D5C28"/>
    <w:rsid w:val="003E43DD"/>
    <w:rsid w:val="003F11CD"/>
    <w:rsid w:val="003F1F0B"/>
    <w:rsid w:val="003F1F74"/>
    <w:rsid w:val="003F20F3"/>
    <w:rsid w:val="003F22F7"/>
    <w:rsid w:val="003F4C16"/>
    <w:rsid w:val="003F4DEC"/>
    <w:rsid w:val="003F5539"/>
    <w:rsid w:val="004010F0"/>
    <w:rsid w:val="004028AF"/>
    <w:rsid w:val="0040615A"/>
    <w:rsid w:val="00412931"/>
    <w:rsid w:val="0041427E"/>
    <w:rsid w:val="00425D5B"/>
    <w:rsid w:val="00426DB1"/>
    <w:rsid w:val="004311E9"/>
    <w:rsid w:val="00433A17"/>
    <w:rsid w:val="00434EC7"/>
    <w:rsid w:val="00436440"/>
    <w:rsid w:val="00440454"/>
    <w:rsid w:val="00440466"/>
    <w:rsid w:val="004412CA"/>
    <w:rsid w:val="004422B2"/>
    <w:rsid w:val="00445431"/>
    <w:rsid w:val="004512B9"/>
    <w:rsid w:val="00462F3C"/>
    <w:rsid w:val="00475C10"/>
    <w:rsid w:val="00480B0D"/>
    <w:rsid w:val="00483321"/>
    <w:rsid w:val="00490A66"/>
    <w:rsid w:val="004957C4"/>
    <w:rsid w:val="004A1D74"/>
    <w:rsid w:val="004A4AF3"/>
    <w:rsid w:val="004A505B"/>
    <w:rsid w:val="004A7394"/>
    <w:rsid w:val="004B152E"/>
    <w:rsid w:val="004B2A46"/>
    <w:rsid w:val="004B3D1C"/>
    <w:rsid w:val="004D46F0"/>
    <w:rsid w:val="004D4D49"/>
    <w:rsid w:val="004E2BBE"/>
    <w:rsid w:val="004F014A"/>
    <w:rsid w:val="004F1F77"/>
    <w:rsid w:val="004F3DC7"/>
    <w:rsid w:val="00502942"/>
    <w:rsid w:val="005035FE"/>
    <w:rsid w:val="00514901"/>
    <w:rsid w:val="00521745"/>
    <w:rsid w:val="00526DF9"/>
    <w:rsid w:val="00533F25"/>
    <w:rsid w:val="00534FB8"/>
    <w:rsid w:val="00536D3F"/>
    <w:rsid w:val="00542E9E"/>
    <w:rsid w:val="00543908"/>
    <w:rsid w:val="00544A03"/>
    <w:rsid w:val="00547BF4"/>
    <w:rsid w:val="00564E87"/>
    <w:rsid w:val="005717E8"/>
    <w:rsid w:val="005733E6"/>
    <w:rsid w:val="00580FB8"/>
    <w:rsid w:val="0058604A"/>
    <w:rsid w:val="00587101"/>
    <w:rsid w:val="00590985"/>
    <w:rsid w:val="00591476"/>
    <w:rsid w:val="005954DF"/>
    <w:rsid w:val="00597E4E"/>
    <w:rsid w:val="005A0696"/>
    <w:rsid w:val="005A31E9"/>
    <w:rsid w:val="005A3CB9"/>
    <w:rsid w:val="005A3F8C"/>
    <w:rsid w:val="005A51A9"/>
    <w:rsid w:val="005B59C8"/>
    <w:rsid w:val="005C0112"/>
    <w:rsid w:val="005C3088"/>
    <w:rsid w:val="005C65AC"/>
    <w:rsid w:val="005C7B01"/>
    <w:rsid w:val="005D343A"/>
    <w:rsid w:val="005D5751"/>
    <w:rsid w:val="005F0419"/>
    <w:rsid w:val="005F4548"/>
    <w:rsid w:val="005F59B3"/>
    <w:rsid w:val="0060001B"/>
    <w:rsid w:val="00601E5A"/>
    <w:rsid w:val="00607478"/>
    <w:rsid w:val="00610369"/>
    <w:rsid w:val="00610FB5"/>
    <w:rsid w:val="00624DEE"/>
    <w:rsid w:val="00633285"/>
    <w:rsid w:val="00637343"/>
    <w:rsid w:val="0063763C"/>
    <w:rsid w:val="00640B5B"/>
    <w:rsid w:val="00646D61"/>
    <w:rsid w:val="006479F3"/>
    <w:rsid w:val="00650EC4"/>
    <w:rsid w:val="0065176B"/>
    <w:rsid w:val="00651F5C"/>
    <w:rsid w:val="006546F2"/>
    <w:rsid w:val="00655184"/>
    <w:rsid w:val="00664C22"/>
    <w:rsid w:val="006664FE"/>
    <w:rsid w:val="00672265"/>
    <w:rsid w:val="006744B0"/>
    <w:rsid w:val="00676409"/>
    <w:rsid w:val="00682BB5"/>
    <w:rsid w:val="00684802"/>
    <w:rsid w:val="0068499A"/>
    <w:rsid w:val="0068628E"/>
    <w:rsid w:val="00687CD6"/>
    <w:rsid w:val="00693ADB"/>
    <w:rsid w:val="00693E6E"/>
    <w:rsid w:val="00697AF4"/>
    <w:rsid w:val="006A554D"/>
    <w:rsid w:val="006B095A"/>
    <w:rsid w:val="006B6A64"/>
    <w:rsid w:val="006B6C29"/>
    <w:rsid w:val="006C2AB0"/>
    <w:rsid w:val="006C5646"/>
    <w:rsid w:val="006C5B84"/>
    <w:rsid w:val="006C5BFD"/>
    <w:rsid w:val="006C5ED9"/>
    <w:rsid w:val="006D0795"/>
    <w:rsid w:val="006E1A2E"/>
    <w:rsid w:val="006E2809"/>
    <w:rsid w:val="006F2AAB"/>
    <w:rsid w:val="006F7A5C"/>
    <w:rsid w:val="007019AC"/>
    <w:rsid w:val="007052BA"/>
    <w:rsid w:val="007129E9"/>
    <w:rsid w:val="00716AB2"/>
    <w:rsid w:val="00717C15"/>
    <w:rsid w:val="007222AD"/>
    <w:rsid w:val="007234E0"/>
    <w:rsid w:val="00724B37"/>
    <w:rsid w:val="00726840"/>
    <w:rsid w:val="007306D8"/>
    <w:rsid w:val="007360FD"/>
    <w:rsid w:val="0074182B"/>
    <w:rsid w:val="00743CCC"/>
    <w:rsid w:val="00745E69"/>
    <w:rsid w:val="00751FF5"/>
    <w:rsid w:val="007524B6"/>
    <w:rsid w:val="00752D69"/>
    <w:rsid w:val="007560D2"/>
    <w:rsid w:val="00761212"/>
    <w:rsid w:val="007614F1"/>
    <w:rsid w:val="007640B6"/>
    <w:rsid w:val="00767B2F"/>
    <w:rsid w:val="007869C6"/>
    <w:rsid w:val="007948C0"/>
    <w:rsid w:val="00795CCC"/>
    <w:rsid w:val="00797D2D"/>
    <w:rsid w:val="007A3F3D"/>
    <w:rsid w:val="007A60B4"/>
    <w:rsid w:val="007B2E46"/>
    <w:rsid w:val="007B3286"/>
    <w:rsid w:val="007B37B7"/>
    <w:rsid w:val="007B4F0A"/>
    <w:rsid w:val="007B747A"/>
    <w:rsid w:val="007C027D"/>
    <w:rsid w:val="007C151E"/>
    <w:rsid w:val="007C3AE6"/>
    <w:rsid w:val="007C7E34"/>
    <w:rsid w:val="007D2A93"/>
    <w:rsid w:val="007D6B6B"/>
    <w:rsid w:val="007D76D7"/>
    <w:rsid w:val="007E1EF3"/>
    <w:rsid w:val="007E49DC"/>
    <w:rsid w:val="007F0B7A"/>
    <w:rsid w:val="007F3161"/>
    <w:rsid w:val="007F4393"/>
    <w:rsid w:val="008002C3"/>
    <w:rsid w:val="008003D1"/>
    <w:rsid w:val="0080074F"/>
    <w:rsid w:val="00800E3A"/>
    <w:rsid w:val="0080189E"/>
    <w:rsid w:val="00804CC3"/>
    <w:rsid w:val="00814810"/>
    <w:rsid w:val="00820647"/>
    <w:rsid w:val="00822FE0"/>
    <w:rsid w:val="008270A6"/>
    <w:rsid w:val="00831675"/>
    <w:rsid w:val="00834398"/>
    <w:rsid w:val="00834A8D"/>
    <w:rsid w:val="00840673"/>
    <w:rsid w:val="008553B8"/>
    <w:rsid w:val="00855A92"/>
    <w:rsid w:val="00860AEC"/>
    <w:rsid w:val="00861888"/>
    <w:rsid w:val="008629FC"/>
    <w:rsid w:val="00865645"/>
    <w:rsid w:val="00870A18"/>
    <w:rsid w:val="0087257F"/>
    <w:rsid w:val="008804BE"/>
    <w:rsid w:val="008809FF"/>
    <w:rsid w:val="00880DDA"/>
    <w:rsid w:val="008849CF"/>
    <w:rsid w:val="008A0478"/>
    <w:rsid w:val="008A466D"/>
    <w:rsid w:val="008B4777"/>
    <w:rsid w:val="008C0952"/>
    <w:rsid w:val="008C18C0"/>
    <w:rsid w:val="008C3D21"/>
    <w:rsid w:val="008C7149"/>
    <w:rsid w:val="008D381B"/>
    <w:rsid w:val="008D449F"/>
    <w:rsid w:val="008D765C"/>
    <w:rsid w:val="008E1E36"/>
    <w:rsid w:val="008E3E21"/>
    <w:rsid w:val="008E74EB"/>
    <w:rsid w:val="008F2769"/>
    <w:rsid w:val="00901786"/>
    <w:rsid w:val="00902AC5"/>
    <w:rsid w:val="009077D5"/>
    <w:rsid w:val="00907F98"/>
    <w:rsid w:val="00907FD8"/>
    <w:rsid w:val="00910C92"/>
    <w:rsid w:val="009119F4"/>
    <w:rsid w:val="00913E7C"/>
    <w:rsid w:val="00916C80"/>
    <w:rsid w:val="009228DF"/>
    <w:rsid w:val="009271C0"/>
    <w:rsid w:val="009325F6"/>
    <w:rsid w:val="00933D88"/>
    <w:rsid w:val="00942646"/>
    <w:rsid w:val="00944E78"/>
    <w:rsid w:val="009475BE"/>
    <w:rsid w:val="00951AC0"/>
    <w:rsid w:val="0095271A"/>
    <w:rsid w:val="00953EBD"/>
    <w:rsid w:val="0095515F"/>
    <w:rsid w:val="00956C57"/>
    <w:rsid w:val="009618BD"/>
    <w:rsid w:val="00962B38"/>
    <w:rsid w:val="0096312C"/>
    <w:rsid w:val="009639E1"/>
    <w:rsid w:val="00963AC1"/>
    <w:rsid w:val="00963F9B"/>
    <w:rsid w:val="00966E48"/>
    <w:rsid w:val="009743A8"/>
    <w:rsid w:val="00975049"/>
    <w:rsid w:val="00975505"/>
    <w:rsid w:val="00981E84"/>
    <w:rsid w:val="00983677"/>
    <w:rsid w:val="009879CC"/>
    <w:rsid w:val="009905A2"/>
    <w:rsid w:val="00990D53"/>
    <w:rsid w:val="00991AEE"/>
    <w:rsid w:val="0099239B"/>
    <w:rsid w:val="009931E4"/>
    <w:rsid w:val="009940C7"/>
    <w:rsid w:val="009A087F"/>
    <w:rsid w:val="009A2A06"/>
    <w:rsid w:val="009A44BF"/>
    <w:rsid w:val="009B3203"/>
    <w:rsid w:val="009B4FB5"/>
    <w:rsid w:val="009B72FE"/>
    <w:rsid w:val="009C01B0"/>
    <w:rsid w:val="009C326E"/>
    <w:rsid w:val="009D2BDF"/>
    <w:rsid w:val="009D5B50"/>
    <w:rsid w:val="009D5F0F"/>
    <w:rsid w:val="009D7541"/>
    <w:rsid w:val="009E16C4"/>
    <w:rsid w:val="009E40F7"/>
    <w:rsid w:val="009E5A9F"/>
    <w:rsid w:val="009F07F4"/>
    <w:rsid w:val="009F63D1"/>
    <w:rsid w:val="009F6B8B"/>
    <w:rsid w:val="009F7622"/>
    <w:rsid w:val="00A03825"/>
    <w:rsid w:val="00A06FE3"/>
    <w:rsid w:val="00A07F2F"/>
    <w:rsid w:val="00A1292C"/>
    <w:rsid w:val="00A14967"/>
    <w:rsid w:val="00A16562"/>
    <w:rsid w:val="00A171EB"/>
    <w:rsid w:val="00A17AC0"/>
    <w:rsid w:val="00A30B6A"/>
    <w:rsid w:val="00A33C2E"/>
    <w:rsid w:val="00A35223"/>
    <w:rsid w:val="00A377B5"/>
    <w:rsid w:val="00A44144"/>
    <w:rsid w:val="00A4730B"/>
    <w:rsid w:val="00A47600"/>
    <w:rsid w:val="00A52DDF"/>
    <w:rsid w:val="00A5438F"/>
    <w:rsid w:val="00A61B68"/>
    <w:rsid w:val="00A63A5B"/>
    <w:rsid w:val="00A70D5A"/>
    <w:rsid w:val="00A752B2"/>
    <w:rsid w:val="00A83BD2"/>
    <w:rsid w:val="00A914C2"/>
    <w:rsid w:val="00A934D8"/>
    <w:rsid w:val="00AA0D55"/>
    <w:rsid w:val="00AA18D4"/>
    <w:rsid w:val="00AA425F"/>
    <w:rsid w:val="00AB2067"/>
    <w:rsid w:val="00AB74C0"/>
    <w:rsid w:val="00AB7B11"/>
    <w:rsid w:val="00AC0071"/>
    <w:rsid w:val="00AC1F6A"/>
    <w:rsid w:val="00AC472D"/>
    <w:rsid w:val="00AD1D7E"/>
    <w:rsid w:val="00AD5598"/>
    <w:rsid w:val="00AE09D1"/>
    <w:rsid w:val="00AE376C"/>
    <w:rsid w:val="00AE5E33"/>
    <w:rsid w:val="00AF09DA"/>
    <w:rsid w:val="00B02431"/>
    <w:rsid w:val="00B13E1C"/>
    <w:rsid w:val="00B22688"/>
    <w:rsid w:val="00B22E6A"/>
    <w:rsid w:val="00B27B2E"/>
    <w:rsid w:val="00B34051"/>
    <w:rsid w:val="00B406CD"/>
    <w:rsid w:val="00B4550D"/>
    <w:rsid w:val="00B456C1"/>
    <w:rsid w:val="00B52280"/>
    <w:rsid w:val="00B533DF"/>
    <w:rsid w:val="00B551E8"/>
    <w:rsid w:val="00B65714"/>
    <w:rsid w:val="00B66460"/>
    <w:rsid w:val="00B665F6"/>
    <w:rsid w:val="00B67649"/>
    <w:rsid w:val="00B71A0E"/>
    <w:rsid w:val="00B7302F"/>
    <w:rsid w:val="00B86188"/>
    <w:rsid w:val="00B86401"/>
    <w:rsid w:val="00B91C96"/>
    <w:rsid w:val="00B94BD6"/>
    <w:rsid w:val="00B959DA"/>
    <w:rsid w:val="00B97117"/>
    <w:rsid w:val="00BA008A"/>
    <w:rsid w:val="00BA2C94"/>
    <w:rsid w:val="00BA4D9B"/>
    <w:rsid w:val="00BA5B19"/>
    <w:rsid w:val="00BA620B"/>
    <w:rsid w:val="00BA7390"/>
    <w:rsid w:val="00BC0F7F"/>
    <w:rsid w:val="00BC165A"/>
    <w:rsid w:val="00BC4DA2"/>
    <w:rsid w:val="00BC5109"/>
    <w:rsid w:val="00BD3B14"/>
    <w:rsid w:val="00BD40A3"/>
    <w:rsid w:val="00BE1BBF"/>
    <w:rsid w:val="00BE5A4A"/>
    <w:rsid w:val="00BE6C69"/>
    <w:rsid w:val="00BF1B1B"/>
    <w:rsid w:val="00BF2646"/>
    <w:rsid w:val="00BF3042"/>
    <w:rsid w:val="00BF3ED2"/>
    <w:rsid w:val="00BF4632"/>
    <w:rsid w:val="00BF4ECB"/>
    <w:rsid w:val="00BF50EE"/>
    <w:rsid w:val="00C07FDF"/>
    <w:rsid w:val="00C10B76"/>
    <w:rsid w:val="00C10CEF"/>
    <w:rsid w:val="00C11C42"/>
    <w:rsid w:val="00C126F0"/>
    <w:rsid w:val="00C15199"/>
    <w:rsid w:val="00C20F73"/>
    <w:rsid w:val="00C2145D"/>
    <w:rsid w:val="00C23681"/>
    <w:rsid w:val="00C24CFB"/>
    <w:rsid w:val="00C25CB3"/>
    <w:rsid w:val="00C261CB"/>
    <w:rsid w:val="00C27017"/>
    <w:rsid w:val="00C27604"/>
    <w:rsid w:val="00C32447"/>
    <w:rsid w:val="00C32EF7"/>
    <w:rsid w:val="00C340FA"/>
    <w:rsid w:val="00C34C58"/>
    <w:rsid w:val="00C3628B"/>
    <w:rsid w:val="00C41E2D"/>
    <w:rsid w:val="00C468F6"/>
    <w:rsid w:val="00C5049C"/>
    <w:rsid w:val="00C52BAF"/>
    <w:rsid w:val="00C53463"/>
    <w:rsid w:val="00C546B4"/>
    <w:rsid w:val="00C56897"/>
    <w:rsid w:val="00C602AB"/>
    <w:rsid w:val="00C60AE4"/>
    <w:rsid w:val="00C60E4E"/>
    <w:rsid w:val="00C65EFF"/>
    <w:rsid w:val="00C72353"/>
    <w:rsid w:val="00C74995"/>
    <w:rsid w:val="00C7633B"/>
    <w:rsid w:val="00C76972"/>
    <w:rsid w:val="00C80AA0"/>
    <w:rsid w:val="00C837EE"/>
    <w:rsid w:val="00C8598F"/>
    <w:rsid w:val="00C86D72"/>
    <w:rsid w:val="00C9433B"/>
    <w:rsid w:val="00CA1F61"/>
    <w:rsid w:val="00CA3A3B"/>
    <w:rsid w:val="00CA502A"/>
    <w:rsid w:val="00CA56FD"/>
    <w:rsid w:val="00CA5BB4"/>
    <w:rsid w:val="00CB3349"/>
    <w:rsid w:val="00CB3D3B"/>
    <w:rsid w:val="00CB731F"/>
    <w:rsid w:val="00CC189F"/>
    <w:rsid w:val="00CE1F47"/>
    <w:rsid w:val="00CE6406"/>
    <w:rsid w:val="00CF5CF8"/>
    <w:rsid w:val="00CF7CC2"/>
    <w:rsid w:val="00D01A60"/>
    <w:rsid w:val="00D06D76"/>
    <w:rsid w:val="00D12FD5"/>
    <w:rsid w:val="00D16DC1"/>
    <w:rsid w:val="00D16F48"/>
    <w:rsid w:val="00D17719"/>
    <w:rsid w:val="00D24F3E"/>
    <w:rsid w:val="00D30C33"/>
    <w:rsid w:val="00D319C2"/>
    <w:rsid w:val="00D37C50"/>
    <w:rsid w:val="00D4541F"/>
    <w:rsid w:val="00D45DFB"/>
    <w:rsid w:val="00D47533"/>
    <w:rsid w:val="00D4794B"/>
    <w:rsid w:val="00D50317"/>
    <w:rsid w:val="00D56C55"/>
    <w:rsid w:val="00D61D7F"/>
    <w:rsid w:val="00D621F8"/>
    <w:rsid w:val="00D70975"/>
    <w:rsid w:val="00D717DE"/>
    <w:rsid w:val="00D7222B"/>
    <w:rsid w:val="00D73DDF"/>
    <w:rsid w:val="00D73FA1"/>
    <w:rsid w:val="00D8022A"/>
    <w:rsid w:val="00D82DF7"/>
    <w:rsid w:val="00D83AF3"/>
    <w:rsid w:val="00D917CA"/>
    <w:rsid w:val="00D94326"/>
    <w:rsid w:val="00D95FC0"/>
    <w:rsid w:val="00DB0A8E"/>
    <w:rsid w:val="00DB62D6"/>
    <w:rsid w:val="00DC09EE"/>
    <w:rsid w:val="00DC3AD7"/>
    <w:rsid w:val="00DC48CB"/>
    <w:rsid w:val="00DD283B"/>
    <w:rsid w:val="00DD3A06"/>
    <w:rsid w:val="00DD7576"/>
    <w:rsid w:val="00DE25CE"/>
    <w:rsid w:val="00DE3D2A"/>
    <w:rsid w:val="00DE4353"/>
    <w:rsid w:val="00DE48ED"/>
    <w:rsid w:val="00DE5A10"/>
    <w:rsid w:val="00DF10B8"/>
    <w:rsid w:val="00DF4628"/>
    <w:rsid w:val="00DF7FA4"/>
    <w:rsid w:val="00E00346"/>
    <w:rsid w:val="00E046EE"/>
    <w:rsid w:val="00E1193D"/>
    <w:rsid w:val="00E22C85"/>
    <w:rsid w:val="00E243F0"/>
    <w:rsid w:val="00E26F8B"/>
    <w:rsid w:val="00E31736"/>
    <w:rsid w:val="00E35013"/>
    <w:rsid w:val="00E4012B"/>
    <w:rsid w:val="00E4248F"/>
    <w:rsid w:val="00E428BE"/>
    <w:rsid w:val="00E429C3"/>
    <w:rsid w:val="00E43D96"/>
    <w:rsid w:val="00E4620F"/>
    <w:rsid w:val="00E52648"/>
    <w:rsid w:val="00E565A1"/>
    <w:rsid w:val="00E57AA4"/>
    <w:rsid w:val="00E62FFC"/>
    <w:rsid w:val="00E67561"/>
    <w:rsid w:val="00E71329"/>
    <w:rsid w:val="00E72989"/>
    <w:rsid w:val="00E7379B"/>
    <w:rsid w:val="00E80390"/>
    <w:rsid w:val="00E810FF"/>
    <w:rsid w:val="00E8114E"/>
    <w:rsid w:val="00E86152"/>
    <w:rsid w:val="00E86331"/>
    <w:rsid w:val="00E92B54"/>
    <w:rsid w:val="00EA18BC"/>
    <w:rsid w:val="00EA2107"/>
    <w:rsid w:val="00EA3986"/>
    <w:rsid w:val="00EA6B82"/>
    <w:rsid w:val="00EB1E23"/>
    <w:rsid w:val="00EB2076"/>
    <w:rsid w:val="00EB27A3"/>
    <w:rsid w:val="00EB3A33"/>
    <w:rsid w:val="00EC4D23"/>
    <w:rsid w:val="00ED7BC0"/>
    <w:rsid w:val="00EE5DD4"/>
    <w:rsid w:val="00EF202A"/>
    <w:rsid w:val="00EF292C"/>
    <w:rsid w:val="00EF2AA4"/>
    <w:rsid w:val="00EF7ACE"/>
    <w:rsid w:val="00F019D6"/>
    <w:rsid w:val="00F047EF"/>
    <w:rsid w:val="00F11ACB"/>
    <w:rsid w:val="00F13970"/>
    <w:rsid w:val="00F14B20"/>
    <w:rsid w:val="00F15626"/>
    <w:rsid w:val="00F23930"/>
    <w:rsid w:val="00F24570"/>
    <w:rsid w:val="00F2464E"/>
    <w:rsid w:val="00F31180"/>
    <w:rsid w:val="00F370ED"/>
    <w:rsid w:val="00F51DCA"/>
    <w:rsid w:val="00F5510C"/>
    <w:rsid w:val="00F63323"/>
    <w:rsid w:val="00F65EE6"/>
    <w:rsid w:val="00F6626E"/>
    <w:rsid w:val="00F7053B"/>
    <w:rsid w:val="00F72709"/>
    <w:rsid w:val="00F73F7F"/>
    <w:rsid w:val="00F851EC"/>
    <w:rsid w:val="00F85704"/>
    <w:rsid w:val="00F85B25"/>
    <w:rsid w:val="00F85C44"/>
    <w:rsid w:val="00F907D7"/>
    <w:rsid w:val="00FA3DFE"/>
    <w:rsid w:val="00FB3136"/>
    <w:rsid w:val="00FC2266"/>
    <w:rsid w:val="00FC4759"/>
    <w:rsid w:val="00FC5356"/>
    <w:rsid w:val="00FC603E"/>
    <w:rsid w:val="00FD098C"/>
    <w:rsid w:val="00FD1D92"/>
    <w:rsid w:val="00FD545F"/>
    <w:rsid w:val="00FE282A"/>
    <w:rsid w:val="00FE53ED"/>
    <w:rsid w:val="00FE69F2"/>
    <w:rsid w:val="00FF032A"/>
    <w:rsid w:val="00FF04E3"/>
    <w:rsid w:val="00FF2E5A"/>
    <w:rsid w:val="00FF3D58"/>
    <w:rsid w:val="00FF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A8DB6"/>
  <w15:chartTrackingRefBased/>
  <w15:docId w15:val="{7359BB6B-9541-4001-9770-78DA1F3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90"/>
    <w:pPr>
      <w:spacing w:after="0" w:line="240" w:lineRule="auto"/>
    </w:pPr>
    <w:rPr>
      <w:rFonts w:ascii="Calibri" w:eastAsia="Calibri" w:hAnsi="Calibri" w:cs="Times New Roman"/>
      <w:sz w:val="24"/>
      <w:szCs w:val="24"/>
      <w:lang w:val="en-GB"/>
    </w:rPr>
  </w:style>
  <w:style w:type="paragraph" w:styleId="Heading1">
    <w:name w:val="heading 1"/>
    <w:basedOn w:val="Normal"/>
    <w:link w:val="Heading1Char"/>
    <w:uiPriority w:val="9"/>
    <w:qFormat/>
    <w:rsid w:val="009A2A06"/>
    <w:pPr>
      <w:spacing w:before="100" w:beforeAutospacing="1" w:after="100" w:afterAutospacing="1"/>
      <w:outlineLvl w:val="0"/>
    </w:pPr>
    <w:rPr>
      <w:rFonts w:ascii="Times New Roman" w:eastAsia="Times New Roman" w:hAnsi="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90"/>
    <w:pPr>
      <w:tabs>
        <w:tab w:val="center" w:pos="4513"/>
        <w:tab w:val="right" w:pos="9026"/>
      </w:tabs>
    </w:pPr>
  </w:style>
  <w:style w:type="character" w:customStyle="1" w:styleId="HeaderChar">
    <w:name w:val="Header Char"/>
    <w:basedOn w:val="DefaultParagraphFont"/>
    <w:link w:val="Header"/>
    <w:uiPriority w:val="99"/>
    <w:rsid w:val="00BA7390"/>
    <w:rPr>
      <w:rFonts w:ascii="Calibri" w:eastAsia="Calibri" w:hAnsi="Calibri" w:cs="Times New Roman"/>
      <w:sz w:val="24"/>
      <w:szCs w:val="24"/>
      <w:lang w:val="en-GB"/>
    </w:rPr>
  </w:style>
  <w:style w:type="paragraph" w:styleId="Footer">
    <w:name w:val="footer"/>
    <w:basedOn w:val="Normal"/>
    <w:link w:val="FooterChar"/>
    <w:uiPriority w:val="99"/>
    <w:unhideWhenUsed/>
    <w:rsid w:val="00BA7390"/>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BA7390"/>
    <w:rPr>
      <w:rFonts w:ascii="Calibri" w:eastAsia="Calibri" w:hAnsi="Calibri" w:cs="Times New Roman"/>
      <w:color w:val="430098"/>
      <w:sz w:val="24"/>
      <w:szCs w:val="24"/>
      <w:lang w:val="en-GB"/>
    </w:rPr>
  </w:style>
  <w:style w:type="paragraph" w:customStyle="1" w:styleId="Body">
    <w:name w:val="Body"/>
    <w:basedOn w:val="Normal"/>
    <w:qFormat/>
    <w:rsid w:val="00BA7390"/>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SectionHeading1">
    <w:name w:val="Section Heading 1"/>
    <w:basedOn w:val="Normal"/>
    <w:qFormat/>
    <w:rsid w:val="00BA7390"/>
    <w:pPr>
      <w:widowControl w:val="0"/>
      <w:suppressAutoHyphens/>
      <w:autoSpaceDE w:val="0"/>
      <w:autoSpaceDN w:val="0"/>
      <w:adjustRightInd w:val="0"/>
      <w:spacing w:after="120" w:line="288" w:lineRule="auto"/>
      <w:textAlignment w:val="center"/>
    </w:pPr>
    <w:rPr>
      <w:rFonts w:cs="PostGrotesk-Medium"/>
      <w:color w:val="430098"/>
      <w:sz w:val="28"/>
      <w:szCs w:val="28"/>
    </w:rPr>
  </w:style>
  <w:style w:type="paragraph" w:customStyle="1" w:styleId="Disclaimer">
    <w:name w:val="Disclaimer"/>
    <w:basedOn w:val="Normal"/>
    <w:qFormat/>
    <w:rsid w:val="00BA7390"/>
    <w:pPr>
      <w:ind w:right="-7"/>
    </w:pPr>
    <w:rPr>
      <w:rFonts w:cs="PostGrotesk-Book"/>
      <w:color w:val="55565A"/>
      <w:sz w:val="18"/>
      <w:szCs w:val="18"/>
    </w:rPr>
  </w:style>
  <w:style w:type="paragraph" w:customStyle="1" w:styleId="DocumentTitle">
    <w:name w:val="Document Title"/>
    <w:basedOn w:val="Header"/>
    <w:qFormat/>
    <w:rsid w:val="00BA7390"/>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BA7390"/>
    <w:rPr>
      <w:color w:val="0000FF"/>
      <w:u w:val="single"/>
    </w:rPr>
  </w:style>
  <w:style w:type="character" w:styleId="UnresolvedMention">
    <w:name w:val="Unresolved Mention"/>
    <w:basedOn w:val="DefaultParagraphFont"/>
    <w:uiPriority w:val="99"/>
    <w:semiHidden/>
    <w:unhideWhenUsed/>
    <w:rsid w:val="00BA008A"/>
    <w:rPr>
      <w:color w:val="808080"/>
      <w:shd w:val="clear" w:color="auto" w:fill="E6E6E6"/>
    </w:rPr>
  </w:style>
  <w:style w:type="character" w:styleId="CommentReference">
    <w:name w:val="annotation reference"/>
    <w:basedOn w:val="DefaultParagraphFont"/>
    <w:uiPriority w:val="99"/>
    <w:semiHidden/>
    <w:unhideWhenUsed/>
    <w:rsid w:val="00E62FFC"/>
    <w:rPr>
      <w:sz w:val="16"/>
      <w:szCs w:val="16"/>
    </w:rPr>
  </w:style>
  <w:style w:type="paragraph" w:styleId="CommentText">
    <w:name w:val="annotation text"/>
    <w:basedOn w:val="Normal"/>
    <w:link w:val="CommentTextChar"/>
    <w:uiPriority w:val="99"/>
    <w:semiHidden/>
    <w:unhideWhenUsed/>
    <w:rsid w:val="00E62FFC"/>
    <w:rPr>
      <w:sz w:val="20"/>
      <w:szCs w:val="20"/>
    </w:rPr>
  </w:style>
  <w:style w:type="character" w:customStyle="1" w:styleId="CommentTextChar">
    <w:name w:val="Comment Text Char"/>
    <w:basedOn w:val="DefaultParagraphFont"/>
    <w:link w:val="CommentText"/>
    <w:uiPriority w:val="99"/>
    <w:semiHidden/>
    <w:rsid w:val="00E62FF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FFC"/>
    <w:rPr>
      <w:b/>
      <w:bCs/>
    </w:rPr>
  </w:style>
  <w:style w:type="character" w:customStyle="1" w:styleId="CommentSubjectChar">
    <w:name w:val="Comment Subject Char"/>
    <w:basedOn w:val="CommentTextChar"/>
    <w:link w:val="CommentSubject"/>
    <w:uiPriority w:val="99"/>
    <w:semiHidden/>
    <w:rsid w:val="00E62FF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6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FC"/>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80189E"/>
    <w:rPr>
      <w:sz w:val="20"/>
      <w:szCs w:val="20"/>
    </w:rPr>
  </w:style>
  <w:style w:type="character" w:customStyle="1" w:styleId="FootnoteTextChar">
    <w:name w:val="Footnote Text Char"/>
    <w:basedOn w:val="DefaultParagraphFont"/>
    <w:link w:val="FootnoteText"/>
    <w:uiPriority w:val="99"/>
    <w:semiHidden/>
    <w:rsid w:val="0080189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0189E"/>
    <w:rPr>
      <w:vertAlign w:val="superscript"/>
    </w:rPr>
  </w:style>
  <w:style w:type="paragraph" w:styleId="Revision">
    <w:name w:val="Revision"/>
    <w:hidden/>
    <w:uiPriority w:val="99"/>
    <w:semiHidden/>
    <w:rsid w:val="002F4EC6"/>
    <w:pPr>
      <w:spacing w:after="0" w:line="240" w:lineRule="auto"/>
    </w:pPr>
    <w:rPr>
      <w:rFonts w:ascii="Calibri" w:eastAsia="Calibri" w:hAnsi="Calibri" w:cs="Times New Roman"/>
      <w:sz w:val="24"/>
      <w:szCs w:val="24"/>
      <w:lang w:val="en-GB"/>
    </w:rPr>
  </w:style>
  <w:style w:type="paragraph" w:styleId="ListParagraph">
    <w:name w:val="List Paragraph"/>
    <w:basedOn w:val="Normal"/>
    <w:uiPriority w:val="34"/>
    <w:qFormat/>
    <w:rsid w:val="004B2A46"/>
    <w:pPr>
      <w:ind w:left="720"/>
    </w:pPr>
    <w:rPr>
      <w:rFonts w:eastAsiaTheme="minorHAnsi" w:cs="Calibri"/>
      <w:lang w:val="en-AU" w:eastAsia="en-AU"/>
    </w:rPr>
  </w:style>
  <w:style w:type="paragraph" w:styleId="EndnoteText">
    <w:name w:val="endnote text"/>
    <w:basedOn w:val="Normal"/>
    <w:link w:val="EndnoteTextChar"/>
    <w:uiPriority w:val="99"/>
    <w:semiHidden/>
    <w:unhideWhenUsed/>
    <w:rsid w:val="007B4F0A"/>
    <w:rPr>
      <w:sz w:val="20"/>
      <w:szCs w:val="20"/>
    </w:rPr>
  </w:style>
  <w:style w:type="character" w:customStyle="1" w:styleId="EndnoteTextChar">
    <w:name w:val="Endnote Text Char"/>
    <w:basedOn w:val="DefaultParagraphFont"/>
    <w:link w:val="EndnoteText"/>
    <w:uiPriority w:val="99"/>
    <w:semiHidden/>
    <w:rsid w:val="007B4F0A"/>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7B4F0A"/>
    <w:rPr>
      <w:vertAlign w:val="superscript"/>
    </w:rPr>
  </w:style>
  <w:style w:type="character" w:customStyle="1" w:styleId="Heading1Char">
    <w:name w:val="Heading 1 Char"/>
    <w:basedOn w:val="DefaultParagraphFont"/>
    <w:link w:val="Heading1"/>
    <w:uiPriority w:val="9"/>
    <w:rsid w:val="009A2A06"/>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892">
      <w:bodyDiv w:val="1"/>
      <w:marLeft w:val="0"/>
      <w:marRight w:val="0"/>
      <w:marTop w:val="0"/>
      <w:marBottom w:val="0"/>
      <w:divBdr>
        <w:top w:val="none" w:sz="0" w:space="0" w:color="auto"/>
        <w:left w:val="none" w:sz="0" w:space="0" w:color="auto"/>
        <w:bottom w:val="none" w:sz="0" w:space="0" w:color="auto"/>
        <w:right w:val="none" w:sz="0" w:space="0" w:color="auto"/>
      </w:divBdr>
    </w:div>
    <w:div w:id="161817549">
      <w:bodyDiv w:val="1"/>
      <w:marLeft w:val="0"/>
      <w:marRight w:val="0"/>
      <w:marTop w:val="0"/>
      <w:marBottom w:val="0"/>
      <w:divBdr>
        <w:top w:val="none" w:sz="0" w:space="0" w:color="auto"/>
        <w:left w:val="none" w:sz="0" w:space="0" w:color="auto"/>
        <w:bottom w:val="none" w:sz="0" w:space="0" w:color="auto"/>
        <w:right w:val="none" w:sz="0" w:space="0" w:color="auto"/>
      </w:divBdr>
    </w:div>
    <w:div w:id="195198391">
      <w:bodyDiv w:val="1"/>
      <w:marLeft w:val="0"/>
      <w:marRight w:val="0"/>
      <w:marTop w:val="0"/>
      <w:marBottom w:val="0"/>
      <w:divBdr>
        <w:top w:val="none" w:sz="0" w:space="0" w:color="auto"/>
        <w:left w:val="none" w:sz="0" w:space="0" w:color="auto"/>
        <w:bottom w:val="none" w:sz="0" w:space="0" w:color="auto"/>
        <w:right w:val="none" w:sz="0" w:space="0" w:color="auto"/>
      </w:divBdr>
    </w:div>
    <w:div w:id="298076977">
      <w:bodyDiv w:val="1"/>
      <w:marLeft w:val="0"/>
      <w:marRight w:val="0"/>
      <w:marTop w:val="0"/>
      <w:marBottom w:val="0"/>
      <w:divBdr>
        <w:top w:val="none" w:sz="0" w:space="0" w:color="auto"/>
        <w:left w:val="none" w:sz="0" w:space="0" w:color="auto"/>
        <w:bottom w:val="none" w:sz="0" w:space="0" w:color="auto"/>
        <w:right w:val="none" w:sz="0" w:space="0" w:color="auto"/>
      </w:divBdr>
    </w:div>
    <w:div w:id="335234067">
      <w:bodyDiv w:val="1"/>
      <w:marLeft w:val="0"/>
      <w:marRight w:val="0"/>
      <w:marTop w:val="0"/>
      <w:marBottom w:val="0"/>
      <w:divBdr>
        <w:top w:val="none" w:sz="0" w:space="0" w:color="auto"/>
        <w:left w:val="none" w:sz="0" w:space="0" w:color="auto"/>
        <w:bottom w:val="none" w:sz="0" w:space="0" w:color="auto"/>
        <w:right w:val="none" w:sz="0" w:space="0" w:color="auto"/>
      </w:divBdr>
    </w:div>
    <w:div w:id="356933994">
      <w:bodyDiv w:val="1"/>
      <w:marLeft w:val="0"/>
      <w:marRight w:val="0"/>
      <w:marTop w:val="0"/>
      <w:marBottom w:val="0"/>
      <w:divBdr>
        <w:top w:val="none" w:sz="0" w:space="0" w:color="auto"/>
        <w:left w:val="none" w:sz="0" w:space="0" w:color="auto"/>
        <w:bottom w:val="none" w:sz="0" w:space="0" w:color="auto"/>
        <w:right w:val="none" w:sz="0" w:space="0" w:color="auto"/>
      </w:divBdr>
    </w:div>
    <w:div w:id="366297383">
      <w:bodyDiv w:val="1"/>
      <w:marLeft w:val="0"/>
      <w:marRight w:val="0"/>
      <w:marTop w:val="0"/>
      <w:marBottom w:val="0"/>
      <w:divBdr>
        <w:top w:val="none" w:sz="0" w:space="0" w:color="auto"/>
        <w:left w:val="none" w:sz="0" w:space="0" w:color="auto"/>
        <w:bottom w:val="none" w:sz="0" w:space="0" w:color="auto"/>
        <w:right w:val="none" w:sz="0" w:space="0" w:color="auto"/>
      </w:divBdr>
    </w:div>
    <w:div w:id="394740482">
      <w:bodyDiv w:val="1"/>
      <w:marLeft w:val="0"/>
      <w:marRight w:val="0"/>
      <w:marTop w:val="0"/>
      <w:marBottom w:val="0"/>
      <w:divBdr>
        <w:top w:val="none" w:sz="0" w:space="0" w:color="auto"/>
        <w:left w:val="none" w:sz="0" w:space="0" w:color="auto"/>
        <w:bottom w:val="none" w:sz="0" w:space="0" w:color="auto"/>
        <w:right w:val="none" w:sz="0" w:space="0" w:color="auto"/>
      </w:divBdr>
    </w:div>
    <w:div w:id="457997246">
      <w:bodyDiv w:val="1"/>
      <w:marLeft w:val="0"/>
      <w:marRight w:val="0"/>
      <w:marTop w:val="0"/>
      <w:marBottom w:val="0"/>
      <w:divBdr>
        <w:top w:val="none" w:sz="0" w:space="0" w:color="auto"/>
        <w:left w:val="none" w:sz="0" w:space="0" w:color="auto"/>
        <w:bottom w:val="none" w:sz="0" w:space="0" w:color="auto"/>
        <w:right w:val="none" w:sz="0" w:space="0" w:color="auto"/>
      </w:divBdr>
    </w:div>
    <w:div w:id="663246382">
      <w:bodyDiv w:val="1"/>
      <w:marLeft w:val="0"/>
      <w:marRight w:val="0"/>
      <w:marTop w:val="0"/>
      <w:marBottom w:val="0"/>
      <w:divBdr>
        <w:top w:val="none" w:sz="0" w:space="0" w:color="auto"/>
        <w:left w:val="none" w:sz="0" w:space="0" w:color="auto"/>
        <w:bottom w:val="none" w:sz="0" w:space="0" w:color="auto"/>
        <w:right w:val="none" w:sz="0" w:space="0" w:color="auto"/>
      </w:divBdr>
    </w:div>
    <w:div w:id="1139684812">
      <w:bodyDiv w:val="1"/>
      <w:marLeft w:val="0"/>
      <w:marRight w:val="0"/>
      <w:marTop w:val="0"/>
      <w:marBottom w:val="0"/>
      <w:divBdr>
        <w:top w:val="none" w:sz="0" w:space="0" w:color="auto"/>
        <w:left w:val="none" w:sz="0" w:space="0" w:color="auto"/>
        <w:bottom w:val="none" w:sz="0" w:space="0" w:color="auto"/>
        <w:right w:val="none" w:sz="0" w:space="0" w:color="auto"/>
      </w:divBdr>
    </w:div>
    <w:div w:id="1305156145">
      <w:bodyDiv w:val="1"/>
      <w:marLeft w:val="0"/>
      <w:marRight w:val="0"/>
      <w:marTop w:val="0"/>
      <w:marBottom w:val="0"/>
      <w:divBdr>
        <w:top w:val="none" w:sz="0" w:space="0" w:color="auto"/>
        <w:left w:val="none" w:sz="0" w:space="0" w:color="auto"/>
        <w:bottom w:val="none" w:sz="0" w:space="0" w:color="auto"/>
        <w:right w:val="none" w:sz="0" w:space="0" w:color="auto"/>
      </w:divBdr>
    </w:div>
    <w:div w:id="1723945494">
      <w:bodyDiv w:val="1"/>
      <w:marLeft w:val="0"/>
      <w:marRight w:val="0"/>
      <w:marTop w:val="0"/>
      <w:marBottom w:val="0"/>
      <w:divBdr>
        <w:top w:val="none" w:sz="0" w:space="0" w:color="auto"/>
        <w:left w:val="none" w:sz="0" w:space="0" w:color="auto"/>
        <w:bottom w:val="none" w:sz="0" w:space="0" w:color="auto"/>
        <w:right w:val="none" w:sz="0" w:space="0" w:color="auto"/>
      </w:divBdr>
    </w:div>
    <w:div w:id="1884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BFDF-2A37-4874-9AED-5A2989C8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Jessica Brackin</cp:lastModifiedBy>
  <cp:revision>2</cp:revision>
  <cp:lastPrinted>2018-11-26T23:04:00Z</cp:lastPrinted>
  <dcterms:created xsi:type="dcterms:W3CDTF">2019-12-06T00:31:00Z</dcterms:created>
  <dcterms:modified xsi:type="dcterms:W3CDTF">2019-12-06T00:31:00Z</dcterms:modified>
</cp:coreProperties>
</file>