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C34" w:rsidRPr="00863040" w:rsidRDefault="00F36C34" w:rsidP="00F36C34">
      <w:pPr>
        <w:ind w:right="-7"/>
        <w:rPr>
          <w:color w:val="555559"/>
          <w:lang w:val="en-US"/>
        </w:rPr>
        <w:sectPr w:rsidR="00F36C34" w:rsidRPr="00863040" w:rsidSect="00E74731">
          <w:footerReference w:type="default" r:id="rId8"/>
          <w:headerReference w:type="first" r:id="rId9"/>
          <w:footerReference w:type="first" r:id="rId10"/>
          <w:pgSz w:w="11900" w:h="16840"/>
          <w:pgMar w:top="1134" w:right="1134" w:bottom="1134" w:left="1134" w:header="964" w:footer="1056" w:gutter="0"/>
          <w:cols w:space="708"/>
          <w:titlePg/>
          <w:docGrid w:linePitch="360"/>
        </w:sectPr>
      </w:pPr>
    </w:p>
    <w:p w:rsidR="00662FFB" w:rsidRPr="008B7923" w:rsidRDefault="00662FFB" w:rsidP="008B7923">
      <w:pPr>
        <w:pStyle w:val="Linebreak11pt"/>
      </w:pPr>
    </w:p>
    <w:p w:rsidR="008B7923" w:rsidRPr="000A3A47" w:rsidRDefault="008B7923" w:rsidP="000A3A47">
      <w:pPr>
        <w:pStyle w:val="Linebreak11pt"/>
        <w:sectPr w:rsidR="008B7923" w:rsidRPr="000A3A47" w:rsidSect="00E74731">
          <w:type w:val="continuous"/>
          <w:pgSz w:w="11900" w:h="16840"/>
          <w:pgMar w:top="1134" w:right="1134" w:bottom="1134" w:left="1134" w:header="1134" w:footer="1056" w:gutter="0"/>
          <w:cols w:num="2" w:space="720"/>
          <w:titlePg/>
          <w:docGrid w:linePitch="360"/>
        </w:sectPr>
      </w:pPr>
    </w:p>
    <w:tbl>
      <w:tblPr>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43"/>
        <w:gridCol w:w="5791"/>
      </w:tblGrid>
      <w:tr w:rsidR="000A3A47" w:rsidRPr="00B37C5F" w:rsidTr="002E1E57">
        <w:tc>
          <w:tcPr>
            <w:tcW w:w="3843" w:type="dxa"/>
            <w:shd w:val="clear" w:color="auto" w:fill="auto"/>
          </w:tcPr>
          <w:p w:rsidR="000A3A47" w:rsidRDefault="000A3A47" w:rsidP="008B7923">
            <w:pPr>
              <w:pStyle w:val="TableHeading"/>
              <w:rPr>
                <w:bCs w:val="0"/>
              </w:rPr>
            </w:pPr>
            <w:r>
              <w:rPr>
                <w:bCs w:val="0"/>
              </w:rPr>
              <w:t xml:space="preserve">Question </w:t>
            </w:r>
          </w:p>
          <w:p w:rsidR="001C4898" w:rsidRPr="00B37C5F" w:rsidRDefault="001C4898" w:rsidP="008B7923">
            <w:pPr>
              <w:pStyle w:val="TableHeading"/>
              <w:rPr>
                <w:bCs w:val="0"/>
              </w:rPr>
            </w:pPr>
          </w:p>
        </w:tc>
        <w:tc>
          <w:tcPr>
            <w:tcW w:w="5791" w:type="dxa"/>
            <w:shd w:val="clear" w:color="auto" w:fill="auto"/>
          </w:tcPr>
          <w:p w:rsidR="000A3A47" w:rsidRPr="00B37C5F" w:rsidRDefault="000A3A47" w:rsidP="008B7923">
            <w:pPr>
              <w:pStyle w:val="Linebreak11pt"/>
              <w:rPr>
                <w:b/>
                <w:bCs/>
              </w:rPr>
            </w:pPr>
            <w:r>
              <w:rPr>
                <w:b/>
                <w:bCs/>
              </w:rPr>
              <w:t>Answer</w:t>
            </w:r>
          </w:p>
        </w:tc>
      </w:tr>
      <w:tr w:rsidR="000A3A47" w:rsidRPr="00B37C5F" w:rsidTr="002E1E57">
        <w:tc>
          <w:tcPr>
            <w:tcW w:w="3843" w:type="dxa"/>
            <w:shd w:val="clear" w:color="auto" w:fill="F2F2F2"/>
          </w:tcPr>
          <w:p w:rsidR="000A3A47" w:rsidRPr="00B37C5F" w:rsidRDefault="000A3A47" w:rsidP="008B7923">
            <w:pPr>
              <w:pStyle w:val="TableBody"/>
              <w:rPr>
                <w:bCs w:val="0"/>
              </w:rPr>
            </w:pPr>
            <w:r w:rsidRPr="000A3A47">
              <w:rPr>
                <w:bCs w:val="0"/>
              </w:rPr>
              <w:t>Do we need to label both documents and emails by August 2020?</w:t>
            </w:r>
          </w:p>
        </w:tc>
        <w:tc>
          <w:tcPr>
            <w:tcW w:w="5791" w:type="dxa"/>
            <w:shd w:val="clear" w:color="auto" w:fill="F2F2F2"/>
          </w:tcPr>
          <w:p w:rsidR="000A3A47" w:rsidRDefault="000A3A47" w:rsidP="008B7923">
            <w:pPr>
              <w:pStyle w:val="Linebreak11pt"/>
            </w:pPr>
            <w:r w:rsidRPr="000A3A47">
              <w:t>The protective marking reform grandfathering period is until Oct 2020. This timeframe aligns with the Commonwealth government's requirements outlined in the Protective Security Policy Framework (PSPF)</w:t>
            </w:r>
            <w:r>
              <w:t>.</w:t>
            </w:r>
          </w:p>
          <w:p w:rsidR="000A3A47" w:rsidRPr="00B37C5F" w:rsidRDefault="000A3A47" w:rsidP="001C4898">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Do you have any accessibility friendly materials i.e</w:t>
            </w:r>
            <w:r>
              <w:rPr>
                <w:bCs w:val="0"/>
              </w:rPr>
              <w:t>.</w:t>
            </w:r>
            <w:r w:rsidRPr="000A3A47">
              <w:rPr>
                <w:bCs w:val="0"/>
              </w:rPr>
              <w:t xml:space="preserve"> BILS reckoner and guides?</w:t>
            </w:r>
          </w:p>
        </w:tc>
        <w:tc>
          <w:tcPr>
            <w:tcW w:w="5791" w:type="dxa"/>
            <w:shd w:val="clear" w:color="auto" w:fill="F2F2F2"/>
          </w:tcPr>
          <w:p w:rsidR="000A3A47" w:rsidRDefault="000A3A47" w:rsidP="008B7923">
            <w:pPr>
              <w:pStyle w:val="Linebreak11pt"/>
            </w:pPr>
            <w:r w:rsidRPr="000A3A47">
              <w:t>We are publishing a lot of content in HTML and word documents</w:t>
            </w:r>
            <w:r>
              <w:t xml:space="preserve">. If there is a document that you are having trouble accessing, please contact the Information Security Unit by emailing </w:t>
            </w:r>
            <w:hyperlink r:id="rId11" w:history="1">
              <w:r w:rsidRPr="00494CFB">
                <w:rPr>
                  <w:rStyle w:val="Hyperlink"/>
                </w:rPr>
                <w:t>security@ovic.vic.gov.au</w:t>
              </w:r>
            </w:hyperlink>
            <w:r>
              <w:t xml:space="preserve"> </w:t>
            </w:r>
          </w:p>
          <w:p w:rsidR="000A3A47" w:rsidRPr="000A3A47" w:rsidRDefault="000A3A47" w:rsidP="008B7923">
            <w:pPr>
              <w:pStyle w:val="Linebreak11pt"/>
            </w:pPr>
          </w:p>
        </w:tc>
      </w:tr>
      <w:tr w:rsidR="000A3A47" w:rsidRPr="00B37C5F" w:rsidTr="002E1E57">
        <w:tc>
          <w:tcPr>
            <w:tcW w:w="3843" w:type="dxa"/>
            <w:shd w:val="clear" w:color="auto" w:fill="F2F2F2"/>
          </w:tcPr>
          <w:p w:rsidR="000A3A47" w:rsidRDefault="000A3A47" w:rsidP="008B7923">
            <w:pPr>
              <w:pStyle w:val="TableBody"/>
              <w:rPr>
                <w:bCs w:val="0"/>
              </w:rPr>
            </w:pPr>
            <w:r w:rsidRPr="000A3A47">
              <w:rPr>
                <w:bCs w:val="0"/>
              </w:rPr>
              <w:t>Does an organisation have to address all 12 standards?</w:t>
            </w:r>
          </w:p>
          <w:p w:rsidR="000A3A47" w:rsidRPr="000A3A47" w:rsidRDefault="000A3A47" w:rsidP="008B7923">
            <w:pPr>
              <w:pStyle w:val="TableBody"/>
              <w:rPr>
                <w:bCs w:val="0"/>
              </w:rPr>
            </w:pPr>
          </w:p>
        </w:tc>
        <w:tc>
          <w:tcPr>
            <w:tcW w:w="5791" w:type="dxa"/>
            <w:shd w:val="clear" w:color="auto" w:fill="F2F2F2"/>
          </w:tcPr>
          <w:p w:rsidR="000A3A47" w:rsidRPr="000A3A47" w:rsidRDefault="000A3A47" w:rsidP="008B7923">
            <w:pPr>
              <w:pStyle w:val="Linebreak11pt"/>
            </w:pPr>
            <w:r w:rsidRPr="000A3A47">
              <w:t>Y</w:t>
            </w:r>
            <w:r>
              <w:t>es</w:t>
            </w: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 xml:space="preserve">Has the information asset template altered? </w:t>
            </w:r>
            <w:r w:rsidR="00A320DC">
              <w:rPr>
                <w:bCs w:val="0"/>
              </w:rPr>
              <w:t>In particular, has there been changes to</w:t>
            </w:r>
            <w:r w:rsidR="00A50D04">
              <w:rPr>
                <w:bCs w:val="0"/>
              </w:rPr>
              <w:t xml:space="preserve"> </w:t>
            </w:r>
            <w:r w:rsidR="00A320DC">
              <w:rPr>
                <w:bCs w:val="0"/>
              </w:rPr>
              <w:t>t</w:t>
            </w:r>
            <w:r w:rsidRPr="000A3A47">
              <w:rPr>
                <w:bCs w:val="0"/>
              </w:rPr>
              <w:t>he recommended metadata</w:t>
            </w:r>
            <w:r w:rsidR="00A320DC">
              <w:rPr>
                <w:bCs w:val="0"/>
              </w:rPr>
              <w:t xml:space="preserve"> that needs to be registered?</w:t>
            </w:r>
          </w:p>
        </w:tc>
        <w:tc>
          <w:tcPr>
            <w:tcW w:w="5791" w:type="dxa"/>
            <w:shd w:val="clear" w:color="auto" w:fill="F2F2F2"/>
          </w:tcPr>
          <w:p w:rsidR="000A3A47" w:rsidRDefault="000A3A47" w:rsidP="008B7923">
            <w:pPr>
              <w:pStyle w:val="Linebreak11pt"/>
            </w:pPr>
            <w:r w:rsidRPr="000A3A47">
              <w:t>Yes</w:t>
            </w:r>
            <w:r>
              <w:t>,</w:t>
            </w:r>
            <w:r w:rsidRPr="000A3A47">
              <w:t xml:space="preserve"> </w:t>
            </w:r>
            <w:r>
              <w:t>some of the content has changed based on feedback from partnering regulators and administrators. Please r</w:t>
            </w:r>
            <w:r w:rsidRPr="000A3A47">
              <w:t xml:space="preserve">efer to the new </w:t>
            </w:r>
            <w:hyperlink r:id="rId12" w:history="1">
              <w:r w:rsidRPr="000A3A47">
                <w:rPr>
                  <w:rStyle w:val="Hyperlink"/>
                </w:rPr>
                <w:t>IAR template</w:t>
              </w:r>
            </w:hyperlink>
            <w:r w:rsidRPr="000A3A47">
              <w:t xml:space="preserve"> on </w:t>
            </w:r>
            <w:r>
              <w:t>the OVIC</w:t>
            </w:r>
            <w:r w:rsidRPr="000A3A47">
              <w:t xml:space="preserve"> website</w:t>
            </w:r>
            <w:r>
              <w:t xml:space="preserve">. </w:t>
            </w:r>
            <w:bookmarkStart w:id="0" w:name="_GoBack"/>
            <w:bookmarkEnd w:id="0"/>
          </w:p>
          <w:p w:rsidR="000A3A47" w:rsidRPr="000A3A47" w:rsidRDefault="000A3A47" w:rsidP="008B7923">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I'm struggling to find the new resources online. Please help!</w:t>
            </w:r>
          </w:p>
        </w:tc>
        <w:tc>
          <w:tcPr>
            <w:tcW w:w="5791" w:type="dxa"/>
            <w:shd w:val="clear" w:color="auto" w:fill="F2F2F2"/>
          </w:tcPr>
          <w:p w:rsidR="000A3A47" w:rsidRDefault="000A3A47" w:rsidP="008B7923">
            <w:pPr>
              <w:pStyle w:val="Linebreak11pt"/>
            </w:pPr>
            <w:r w:rsidRPr="000A3A47">
              <w:t xml:space="preserve">For resources relating to the Framework and Standards, please visit our resources page: </w:t>
            </w:r>
            <w:hyperlink r:id="rId13" w:history="1">
              <w:r w:rsidRPr="00494CFB">
                <w:rPr>
                  <w:rStyle w:val="Hyperlink"/>
                </w:rPr>
                <w:t>https://ovic.vic.gov.au/data-protection/for-agencies/vpdsf-resources/</w:t>
              </w:r>
            </w:hyperlink>
          </w:p>
          <w:p w:rsidR="000A3A47" w:rsidRPr="000A3A47" w:rsidRDefault="000A3A47" w:rsidP="008B7923">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Is there a plan for an eLearning on assessing information, using the BILs table, the application of Protective Markings and handling responsibilities?</w:t>
            </w:r>
          </w:p>
        </w:tc>
        <w:tc>
          <w:tcPr>
            <w:tcW w:w="5791" w:type="dxa"/>
            <w:shd w:val="clear" w:color="auto" w:fill="F2F2F2"/>
          </w:tcPr>
          <w:p w:rsidR="000A3A47" w:rsidRDefault="000A3A47" w:rsidP="008B7923">
            <w:pPr>
              <w:pStyle w:val="Linebreak11pt"/>
            </w:pPr>
            <w:r w:rsidRPr="000A3A47">
              <w:t>Great question</w:t>
            </w:r>
            <w:r w:rsidR="001C4898">
              <w:t xml:space="preserve">! </w:t>
            </w:r>
            <w:r>
              <w:t>This is something we are looking at in 2020. We are also launching</w:t>
            </w:r>
            <w:r w:rsidRPr="000A3A47">
              <w:t xml:space="preserve"> Communities of Practice in 2020</w:t>
            </w:r>
            <w:r>
              <w:t xml:space="preserve"> which</w:t>
            </w:r>
            <w:r w:rsidRPr="000A3A47">
              <w:t xml:space="preserve"> will provide opportunities to discuss e</w:t>
            </w:r>
            <w:r>
              <w:t>L</w:t>
            </w:r>
            <w:r w:rsidRPr="000A3A47">
              <w:t>earning requirements</w:t>
            </w:r>
            <w:r>
              <w:t>.</w:t>
            </w:r>
          </w:p>
          <w:p w:rsidR="000A3A47" w:rsidRPr="000A3A47" w:rsidRDefault="000A3A47" w:rsidP="008B7923">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Is there still a requirement to have a data protection policy</w:t>
            </w:r>
            <w:r w:rsidR="00A50D04">
              <w:rPr>
                <w:bCs w:val="0"/>
              </w:rPr>
              <w:t>?</w:t>
            </w:r>
          </w:p>
        </w:tc>
        <w:tc>
          <w:tcPr>
            <w:tcW w:w="5791" w:type="dxa"/>
            <w:shd w:val="clear" w:color="auto" w:fill="F2F2F2"/>
          </w:tcPr>
          <w:p w:rsidR="00D85D70" w:rsidRDefault="000A3A47" w:rsidP="008B7923">
            <w:pPr>
              <w:pStyle w:val="Linebreak11pt"/>
            </w:pPr>
            <w:r w:rsidRPr="000A3A47">
              <w:t>The security documentation an organisation develops may come in differing formats to suit the</w:t>
            </w:r>
            <w:r w:rsidR="00D85D70">
              <w:t>ir</w:t>
            </w:r>
            <w:r w:rsidRPr="000A3A47">
              <w:t xml:space="preserve"> environment. </w:t>
            </w:r>
            <w:r w:rsidR="00D85D70">
              <w:t xml:space="preserve">This could take the form of </w:t>
            </w:r>
            <w:r w:rsidRPr="000A3A47">
              <w:t xml:space="preserve">a suite of documents, an information security policy, a framework, standards etc. </w:t>
            </w:r>
          </w:p>
          <w:p w:rsidR="00D85D70" w:rsidRDefault="00D85D70" w:rsidP="008B7923">
            <w:pPr>
              <w:pStyle w:val="Linebreak11pt"/>
            </w:pPr>
          </w:p>
          <w:p w:rsidR="000A3A47" w:rsidRDefault="00D85D70" w:rsidP="008B7923">
            <w:pPr>
              <w:pStyle w:val="Linebreak11pt"/>
            </w:pPr>
            <w:r>
              <w:t>Organisations should r</w:t>
            </w:r>
            <w:r w:rsidR="000A3A47" w:rsidRPr="000A3A47">
              <w:t xml:space="preserve">efer to element E1.010 which states "The organisation documents a contextualised information </w:t>
            </w:r>
            <w:r w:rsidR="000A3A47" w:rsidRPr="000A3A47">
              <w:lastRenderedPageBreak/>
              <w:t>security management framework (e.g. strategy, policies, procedures) covering all security areas."</w:t>
            </w:r>
          </w:p>
          <w:p w:rsidR="00D85D70" w:rsidRPr="000A3A47" w:rsidRDefault="00D85D70" w:rsidP="008B7923">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lastRenderedPageBreak/>
              <w:t>Thank you for the document map-love the visual</w:t>
            </w:r>
          </w:p>
        </w:tc>
        <w:tc>
          <w:tcPr>
            <w:tcW w:w="5791" w:type="dxa"/>
            <w:shd w:val="clear" w:color="auto" w:fill="F2F2F2"/>
          </w:tcPr>
          <w:p w:rsidR="000A3A47" w:rsidRDefault="000A3A47" w:rsidP="008B7923">
            <w:pPr>
              <w:pStyle w:val="Linebreak11pt"/>
            </w:pPr>
            <w:r w:rsidRPr="000A3A47">
              <w:t>Thank you for your feedback!</w:t>
            </w:r>
          </w:p>
          <w:p w:rsidR="000A3A47" w:rsidRPr="000A3A47" w:rsidRDefault="000A3A47" w:rsidP="008B7923">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What happened to the High-Level PDSP and Self-Assessment?</w:t>
            </w:r>
          </w:p>
        </w:tc>
        <w:tc>
          <w:tcPr>
            <w:tcW w:w="5791" w:type="dxa"/>
            <w:shd w:val="clear" w:color="auto" w:fill="F2F2F2"/>
          </w:tcPr>
          <w:p w:rsidR="000A3A47" w:rsidRDefault="000A3A47" w:rsidP="008B7923">
            <w:pPr>
              <w:pStyle w:val="Linebreak11pt"/>
            </w:pPr>
            <w:r w:rsidRPr="000A3A47">
              <w:t>The High-level PDSP and Self-Assessment have now been combined into the new PDSP form.</w:t>
            </w:r>
          </w:p>
          <w:p w:rsidR="000A3A47" w:rsidRPr="000A3A47" w:rsidRDefault="000A3A47" w:rsidP="008B7923">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 xml:space="preserve">What has happened to the mobile app that we had to select </w:t>
            </w:r>
            <w:r>
              <w:rPr>
                <w:bCs w:val="0"/>
              </w:rPr>
              <w:t>Business Impact Levels (BILs)?</w:t>
            </w:r>
          </w:p>
        </w:tc>
        <w:tc>
          <w:tcPr>
            <w:tcW w:w="5791" w:type="dxa"/>
            <w:shd w:val="clear" w:color="auto" w:fill="F2F2F2"/>
          </w:tcPr>
          <w:p w:rsidR="000A3A47" w:rsidRDefault="000A3A47" w:rsidP="000A3A47">
            <w:pPr>
              <w:pStyle w:val="Linebreak11pt"/>
            </w:pPr>
            <w:r w:rsidRPr="000A3A47">
              <w:t xml:space="preserve">The </w:t>
            </w:r>
            <w:r>
              <w:t xml:space="preserve">mobile </w:t>
            </w:r>
            <w:r w:rsidRPr="000A3A47">
              <w:t xml:space="preserve">BIL app has not been updated yet to reflect the new BIL table and </w:t>
            </w:r>
            <w:r>
              <w:t xml:space="preserve">protective </w:t>
            </w:r>
            <w:r w:rsidRPr="000A3A47">
              <w:t xml:space="preserve">markings. We know this was a popular tool and are </w:t>
            </w:r>
            <w:r>
              <w:t>considering what other</w:t>
            </w:r>
            <w:r w:rsidRPr="000A3A47">
              <w:t xml:space="preserve"> </w:t>
            </w:r>
            <w:r>
              <w:t>tools may</w:t>
            </w:r>
            <w:r w:rsidRPr="000A3A47">
              <w:t xml:space="preserve"> serve the same purpose</w:t>
            </w:r>
            <w:r>
              <w:t xml:space="preserve">. </w:t>
            </w:r>
          </w:p>
          <w:p w:rsidR="000A3A47" w:rsidRDefault="000A3A47" w:rsidP="000A3A47">
            <w:pPr>
              <w:pStyle w:val="Linebreak11pt"/>
            </w:pPr>
          </w:p>
          <w:p w:rsidR="000A3A47" w:rsidRDefault="000A3A47" w:rsidP="000A3A47">
            <w:pPr>
              <w:pStyle w:val="Linebreak11pt"/>
            </w:pPr>
            <w:r>
              <w:t xml:space="preserve">For those looking to perform a manual BIL assessment, please refer to the </w:t>
            </w:r>
            <w:hyperlink r:id="rId14" w:history="1">
              <w:r w:rsidRPr="000A3A47">
                <w:rPr>
                  <w:rStyle w:val="Hyperlink"/>
                </w:rPr>
                <w:t>Practitioner Guide: Assessing the Security Value of Public Sector Information.</w:t>
              </w:r>
            </w:hyperlink>
            <w:r>
              <w:t xml:space="preserve"> </w:t>
            </w:r>
          </w:p>
          <w:p w:rsidR="000A3A47" w:rsidRPr="000A3A47" w:rsidRDefault="000A3A47" w:rsidP="000A3A47">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 xml:space="preserve">What is difference between </w:t>
            </w:r>
            <w:r>
              <w:rPr>
                <w:bCs w:val="0"/>
              </w:rPr>
              <w:t>SRPA</w:t>
            </w:r>
            <w:r w:rsidRPr="000A3A47">
              <w:rPr>
                <w:bCs w:val="0"/>
              </w:rPr>
              <w:t xml:space="preserve"> and self</w:t>
            </w:r>
            <w:r>
              <w:rPr>
                <w:bCs w:val="0"/>
              </w:rPr>
              <w:t>-</w:t>
            </w:r>
            <w:r w:rsidRPr="000A3A47">
              <w:rPr>
                <w:bCs w:val="0"/>
              </w:rPr>
              <w:t>assessment</w:t>
            </w:r>
            <w:r>
              <w:rPr>
                <w:bCs w:val="0"/>
              </w:rPr>
              <w:t>?</w:t>
            </w:r>
          </w:p>
        </w:tc>
        <w:tc>
          <w:tcPr>
            <w:tcW w:w="5791" w:type="dxa"/>
            <w:shd w:val="clear" w:color="auto" w:fill="F2F2F2"/>
          </w:tcPr>
          <w:p w:rsidR="000A3A47" w:rsidRDefault="000A3A47" w:rsidP="000A3A47">
            <w:pPr>
              <w:pStyle w:val="Linebreak11pt"/>
            </w:pPr>
            <w:r w:rsidRPr="000A3A47">
              <w:t xml:space="preserve">The SRPA is the security risk process organisations undertake to identify, assess and evaluate their information security risks. </w:t>
            </w:r>
          </w:p>
          <w:p w:rsidR="000A3A47" w:rsidRDefault="000A3A47" w:rsidP="000A3A47">
            <w:pPr>
              <w:pStyle w:val="Linebreak11pt"/>
            </w:pPr>
          </w:p>
          <w:p w:rsidR="000A3A47" w:rsidRDefault="000A3A47" w:rsidP="000A3A47">
            <w:pPr>
              <w:pStyle w:val="Linebreak11pt"/>
            </w:pPr>
            <w:r w:rsidRPr="000A3A47">
              <w:t xml:space="preserve">The self-assessment is an assessment against the standards themselves and look at how the organisation is going with implementing the elements under each standard. The self-assessment is contained in the updated </w:t>
            </w:r>
            <w:hyperlink r:id="rId15" w:history="1">
              <w:r w:rsidRPr="000A3A47">
                <w:rPr>
                  <w:rStyle w:val="Hyperlink"/>
                </w:rPr>
                <w:t>PDSP form</w:t>
              </w:r>
            </w:hyperlink>
            <w:r>
              <w:t xml:space="preserve"> which can be downloaded from the OVIC website.</w:t>
            </w:r>
          </w:p>
          <w:p w:rsidR="000A3A47" w:rsidRPr="000A3A47" w:rsidRDefault="000A3A47" w:rsidP="000A3A47">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 xml:space="preserve">What is second column in </w:t>
            </w:r>
            <w:r>
              <w:rPr>
                <w:bCs w:val="0"/>
              </w:rPr>
              <w:t>the VPDSS I</w:t>
            </w:r>
            <w:r w:rsidRPr="000A3A47">
              <w:rPr>
                <w:bCs w:val="0"/>
              </w:rPr>
              <w:t>mplement</w:t>
            </w:r>
            <w:r>
              <w:rPr>
                <w:bCs w:val="0"/>
              </w:rPr>
              <w:t>ation</w:t>
            </w:r>
            <w:r w:rsidRPr="000A3A47">
              <w:rPr>
                <w:bCs w:val="0"/>
              </w:rPr>
              <w:t xml:space="preserve"> </w:t>
            </w:r>
            <w:r>
              <w:rPr>
                <w:bCs w:val="0"/>
              </w:rPr>
              <w:t>G</w:t>
            </w:r>
            <w:r w:rsidRPr="000A3A47">
              <w:rPr>
                <w:bCs w:val="0"/>
              </w:rPr>
              <w:t>uide</w:t>
            </w:r>
            <w:r>
              <w:rPr>
                <w:bCs w:val="0"/>
              </w:rPr>
              <w:t>?</w:t>
            </w:r>
          </w:p>
        </w:tc>
        <w:tc>
          <w:tcPr>
            <w:tcW w:w="5791" w:type="dxa"/>
            <w:shd w:val="clear" w:color="auto" w:fill="F2F2F2"/>
          </w:tcPr>
          <w:p w:rsidR="000A3A47" w:rsidRDefault="000A3A47" w:rsidP="000A3A47">
            <w:pPr>
              <w:pStyle w:val="Linebreak11pt"/>
            </w:pPr>
            <w:r>
              <w:t>The</w:t>
            </w:r>
            <w:r w:rsidRPr="000A3A47">
              <w:t xml:space="preserve"> second column of the</w:t>
            </w:r>
            <w:r>
              <w:t xml:space="preserve"> </w:t>
            </w:r>
            <w:hyperlink r:id="rId16" w:history="1">
              <w:r w:rsidRPr="001C4898">
                <w:rPr>
                  <w:rStyle w:val="Hyperlink"/>
                </w:rPr>
                <w:t>VPDSS Implementation Guide</w:t>
              </w:r>
            </w:hyperlink>
            <w:r w:rsidRPr="000A3A47">
              <w:t xml:space="preserve"> as shown in the presentation is a mapping to the previous iteration of the standards (V1.1)</w:t>
            </w:r>
            <w:r>
              <w:t>.</w:t>
            </w:r>
          </w:p>
          <w:p w:rsidR="000A3A47" w:rsidRPr="000A3A47" w:rsidRDefault="000A3A47" w:rsidP="000A3A47">
            <w:pPr>
              <w:pStyle w:val="Linebreak11pt"/>
            </w:pPr>
          </w:p>
        </w:tc>
      </w:tr>
      <w:tr w:rsidR="000A3A47" w:rsidRPr="00B37C5F" w:rsidTr="002E1E57">
        <w:tc>
          <w:tcPr>
            <w:tcW w:w="3843" w:type="dxa"/>
            <w:shd w:val="clear" w:color="auto" w:fill="F2F2F2"/>
          </w:tcPr>
          <w:p w:rsidR="000A3A47" w:rsidRPr="000A3A47" w:rsidRDefault="000A3A47" w:rsidP="008B7923">
            <w:pPr>
              <w:pStyle w:val="TableBody"/>
              <w:rPr>
                <w:bCs w:val="0"/>
              </w:rPr>
            </w:pPr>
            <w:r w:rsidRPr="000A3A47">
              <w:rPr>
                <w:bCs w:val="0"/>
              </w:rPr>
              <w:t>What is the benefit of joining GovTEAMS?</w:t>
            </w:r>
          </w:p>
        </w:tc>
        <w:tc>
          <w:tcPr>
            <w:tcW w:w="5791" w:type="dxa"/>
            <w:shd w:val="clear" w:color="auto" w:fill="F2F2F2"/>
          </w:tcPr>
          <w:p w:rsidR="000A3A47" w:rsidRDefault="000A3A47" w:rsidP="000A3A47">
            <w:pPr>
              <w:pStyle w:val="Linebreak11pt"/>
            </w:pPr>
            <w:r>
              <w:t xml:space="preserve">Members of the </w:t>
            </w:r>
            <w:hyperlink r:id="rId17" w:history="1">
              <w:r w:rsidRPr="001C4898">
                <w:rPr>
                  <w:rStyle w:val="Hyperlink"/>
                </w:rPr>
                <w:t>VISN</w:t>
              </w:r>
            </w:hyperlink>
            <w:r>
              <w:t xml:space="preserve"> GovTeams community can a</w:t>
            </w:r>
            <w:r w:rsidRPr="000A3A47">
              <w:t>ccess archived information security resources</w:t>
            </w:r>
            <w:r>
              <w:t xml:space="preserve"> and </w:t>
            </w:r>
            <w:r w:rsidRPr="000A3A47">
              <w:t>VPS exclusive consultation material</w:t>
            </w:r>
            <w:r>
              <w:t>. In later release of the community additional features will be rolled out, allowing members</w:t>
            </w:r>
            <w:r w:rsidRPr="000A3A47">
              <w:t xml:space="preserve"> to collaborate </w:t>
            </w:r>
            <w:r>
              <w:t>with one another</w:t>
            </w:r>
            <w:r w:rsidRPr="000A3A47">
              <w:t>.</w:t>
            </w:r>
          </w:p>
          <w:p w:rsidR="000A3A47" w:rsidRPr="000A3A47" w:rsidRDefault="000A3A47" w:rsidP="000A3A47">
            <w:pPr>
              <w:pStyle w:val="Linebreak11pt"/>
            </w:pPr>
          </w:p>
        </w:tc>
      </w:tr>
      <w:tr w:rsidR="002A622A" w:rsidRPr="00B37C5F" w:rsidTr="002E1E57">
        <w:tc>
          <w:tcPr>
            <w:tcW w:w="3843" w:type="dxa"/>
            <w:shd w:val="clear" w:color="auto" w:fill="F2F2F2"/>
          </w:tcPr>
          <w:p w:rsidR="002A622A" w:rsidRPr="000A3A47" w:rsidRDefault="002A622A" w:rsidP="008B7923">
            <w:pPr>
              <w:pStyle w:val="TableBody"/>
              <w:rPr>
                <w:bCs w:val="0"/>
              </w:rPr>
            </w:pPr>
            <w:r w:rsidRPr="002A622A">
              <w:rPr>
                <w:bCs w:val="0"/>
              </w:rPr>
              <w:t>Who can join GovTEAMS?</w:t>
            </w:r>
          </w:p>
        </w:tc>
        <w:tc>
          <w:tcPr>
            <w:tcW w:w="5791" w:type="dxa"/>
            <w:shd w:val="clear" w:color="auto" w:fill="F2F2F2"/>
          </w:tcPr>
          <w:p w:rsidR="002A622A" w:rsidRDefault="002A622A" w:rsidP="000A3A47">
            <w:pPr>
              <w:pStyle w:val="Linebreak11pt"/>
            </w:pPr>
            <w:r w:rsidRPr="002A622A">
              <w:t>Anyone!</w:t>
            </w:r>
          </w:p>
          <w:p w:rsidR="002A622A" w:rsidRPr="000A3A47" w:rsidRDefault="002A622A" w:rsidP="000A3A47">
            <w:pPr>
              <w:pStyle w:val="Linebreak11pt"/>
            </w:pPr>
          </w:p>
        </w:tc>
      </w:tr>
      <w:tr w:rsidR="000A3A47" w:rsidRPr="00B37C5F" w:rsidTr="002E1E57">
        <w:tc>
          <w:tcPr>
            <w:tcW w:w="3843" w:type="dxa"/>
            <w:shd w:val="clear" w:color="auto" w:fill="F2F2F2"/>
          </w:tcPr>
          <w:p w:rsidR="000A3A47" w:rsidRDefault="000A3A47" w:rsidP="008B7923">
            <w:pPr>
              <w:pStyle w:val="TableBody"/>
              <w:rPr>
                <w:bCs w:val="0"/>
              </w:rPr>
            </w:pPr>
            <w:r w:rsidRPr="000A3A47">
              <w:rPr>
                <w:bCs w:val="0"/>
              </w:rPr>
              <w:t>What's the rationale for the markings and the use of special characters? E.g. //</w:t>
            </w:r>
          </w:p>
          <w:p w:rsidR="000A3A47" w:rsidRPr="000A3A47" w:rsidRDefault="000A3A47" w:rsidP="008B7923">
            <w:pPr>
              <w:pStyle w:val="TableBody"/>
              <w:rPr>
                <w:bCs w:val="0"/>
              </w:rPr>
            </w:pPr>
          </w:p>
        </w:tc>
        <w:tc>
          <w:tcPr>
            <w:tcW w:w="5791" w:type="dxa"/>
            <w:shd w:val="clear" w:color="auto" w:fill="F2F2F2"/>
          </w:tcPr>
          <w:p w:rsidR="00D85D70" w:rsidRDefault="000A3A47" w:rsidP="000A3A47">
            <w:pPr>
              <w:pStyle w:val="Linebreak11pt"/>
            </w:pPr>
            <w:r w:rsidRPr="000A3A47">
              <w:t xml:space="preserve">The administrative controls for the marking and labelling of public sector </w:t>
            </w:r>
            <w:r w:rsidR="002A622A" w:rsidRPr="000A3A47">
              <w:t>information</w:t>
            </w:r>
            <w:r w:rsidRPr="000A3A47">
              <w:t xml:space="preserve"> aligns with the Commonwealth PSPF, enabling information sharing and informing the handling requirements for this material. </w:t>
            </w:r>
          </w:p>
          <w:p w:rsidR="00D85D70" w:rsidRDefault="00D85D70" w:rsidP="000A3A47">
            <w:pPr>
              <w:pStyle w:val="Linebreak11pt"/>
            </w:pPr>
          </w:p>
          <w:p w:rsidR="00D85D70" w:rsidRDefault="00D85D70" w:rsidP="000A3A47">
            <w:pPr>
              <w:pStyle w:val="Linebreak11pt"/>
            </w:pPr>
            <w:r>
              <w:t xml:space="preserve">For more information on how to manage protective marked material in Vic Gov, refer to </w:t>
            </w:r>
            <w:hyperlink r:id="rId18" w:history="1">
              <w:r w:rsidRPr="00D85D70">
                <w:rPr>
                  <w:rStyle w:val="Hyperlink"/>
                </w:rPr>
                <w:t>Practitioner Guide: Protective markings</w:t>
              </w:r>
            </w:hyperlink>
            <w:r>
              <w:t xml:space="preserve">, and  </w:t>
            </w:r>
            <w:hyperlink r:id="rId19" w:history="1">
              <w:r w:rsidRPr="00D85D70">
                <w:rPr>
                  <w:rStyle w:val="Hyperlink"/>
                </w:rPr>
                <w:t>the User Guide: Handling protectively marked information</w:t>
              </w:r>
            </w:hyperlink>
            <w:r>
              <w:t xml:space="preserve">. </w:t>
            </w:r>
          </w:p>
          <w:p w:rsidR="00D85D70" w:rsidRDefault="00D85D70" w:rsidP="000A3A47">
            <w:pPr>
              <w:pStyle w:val="Linebreak11pt"/>
            </w:pPr>
          </w:p>
          <w:p w:rsidR="000A3A47" w:rsidRDefault="00D85D70" w:rsidP="000A3A47">
            <w:pPr>
              <w:pStyle w:val="Linebreak11pt"/>
            </w:pPr>
            <w:r>
              <w:t>For more information on the Commonwealth PSPF labelling and handling requirements p</w:t>
            </w:r>
            <w:r w:rsidR="000A3A47" w:rsidRPr="000A3A47">
              <w:t xml:space="preserve">lease refer to </w:t>
            </w:r>
            <w:r>
              <w:t xml:space="preserve">- </w:t>
            </w:r>
            <w:hyperlink r:id="rId20" w:history="1">
              <w:r w:rsidRPr="00494CFB">
                <w:rPr>
                  <w:rStyle w:val="Hyperlink"/>
                </w:rPr>
                <w:t>https://www.protectivesecurity.gov.au/information/sensitive-classified-information/Pages/default.aspx</w:t>
              </w:r>
            </w:hyperlink>
          </w:p>
          <w:p w:rsidR="00D85D70" w:rsidRDefault="00D85D70" w:rsidP="000A3A47">
            <w:pPr>
              <w:pStyle w:val="Linebreak11pt"/>
            </w:pPr>
          </w:p>
        </w:tc>
      </w:tr>
      <w:tr w:rsidR="000A3A47" w:rsidRPr="00B37C5F" w:rsidTr="002E1E57">
        <w:tc>
          <w:tcPr>
            <w:tcW w:w="3843" w:type="dxa"/>
            <w:shd w:val="clear" w:color="auto" w:fill="F2F2F2"/>
          </w:tcPr>
          <w:p w:rsidR="000A3A47" w:rsidRPr="000A3A47" w:rsidRDefault="002A622A" w:rsidP="008B7923">
            <w:pPr>
              <w:pStyle w:val="TableBody"/>
              <w:rPr>
                <w:bCs w:val="0"/>
              </w:rPr>
            </w:pPr>
            <w:r w:rsidRPr="002A622A">
              <w:rPr>
                <w:bCs w:val="0"/>
              </w:rPr>
              <w:lastRenderedPageBreak/>
              <w:t>When does the Incident Notification Scheme come into effect?</w:t>
            </w:r>
          </w:p>
        </w:tc>
        <w:tc>
          <w:tcPr>
            <w:tcW w:w="5791" w:type="dxa"/>
            <w:shd w:val="clear" w:color="auto" w:fill="F2F2F2"/>
          </w:tcPr>
          <w:p w:rsidR="001C4898" w:rsidRDefault="002A622A" w:rsidP="000A3A47">
            <w:pPr>
              <w:pStyle w:val="Linebreak11pt"/>
            </w:pPr>
            <w:r w:rsidRPr="002A622A">
              <w:t xml:space="preserve">The Incident Notification Scheme has commenced. </w:t>
            </w:r>
          </w:p>
          <w:p w:rsidR="001C4898" w:rsidRDefault="001C4898" w:rsidP="000A3A47">
            <w:pPr>
              <w:pStyle w:val="Linebreak11pt"/>
            </w:pPr>
          </w:p>
          <w:p w:rsidR="000A3A47" w:rsidRDefault="00D85D70" w:rsidP="000A3A47">
            <w:pPr>
              <w:pStyle w:val="Linebreak11pt"/>
            </w:pPr>
            <w:r>
              <w:t>Organisations should be notifying OVIC of information security incidents</w:t>
            </w:r>
            <w:r w:rsidR="00377068">
              <w:t xml:space="preserve">, following the </w:t>
            </w:r>
            <w:r w:rsidR="002A622A" w:rsidRPr="002A622A">
              <w:t xml:space="preserve">process outlined here: </w:t>
            </w:r>
            <w:hyperlink r:id="rId21" w:history="1">
              <w:r w:rsidR="002A622A" w:rsidRPr="00494CFB">
                <w:rPr>
                  <w:rStyle w:val="Hyperlink"/>
                </w:rPr>
                <w:t>https://ovic.vic.gov.au/data-protection/agency-reporting-obligations/incident-notification/</w:t>
              </w:r>
            </w:hyperlink>
          </w:p>
          <w:p w:rsidR="00D85D70" w:rsidRPr="000A3A47" w:rsidRDefault="00D85D70"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When is the 2020 PDSP due?</w:t>
            </w:r>
          </w:p>
        </w:tc>
        <w:tc>
          <w:tcPr>
            <w:tcW w:w="5791" w:type="dxa"/>
            <w:shd w:val="clear" w:color="auto" w:fill="F2F2F2"/>
          </w:tcPr>
          <w:p w:rsidR="00377068" w:rsidRDefault="002A622A" w:rsidP="000A3A47">
            <w:pPr>
              <w:pStyle w:val="Linebreak11pt"/>
            </w:pPr>
            <w:r w:rsidRPr="002A622A">
              <w:t xml:space="preserve">2020 PDSPs must be submitted no later than the 31st of </w:t>
            </w:r>
            <w:r w:rsidR="00377068" w:rsidRPr="002A622A">
              <w:t xml:space="preserve">August. </w:t>
            </w:r>
          </w:p>
          <w:p w:rsidR="00377068" w:rsidRDefault="00377068" w:rsidP="000A3A47">
            <w:pPr>
              <w:pStyle w:val="Linebreak11pt"/>
            </w:pPr>
          </w:p>
          <w:p w:rsidR="002A622A" w:rsidRDefault="00377068" w:rsidP="000A3A47">
            <w:pPr>
              <w:pStyle w:val="Linebreak11pt"/>
            </w:pPr>
            <w:r w:rsidRPr="002A622A">
              <w:t>For</w:t>
            </w:r>
            <w:r w:rsidR="002A622A" w:rsidRPr="002A622A">
              <w:t xml:space="preserve"> information on PDSP submission, please visit: </w:t>
            </w:r>
            <w:hyperlink r:id="rId22" w:history="1">
              <w:r w:rsidR="00D85D70" w:rsidRPr="00494CFB">
                <w:rPr>
                  <w:rStyle w:val="Hyperlink"/>
                </w:rPr>
                <w:t>https://ovic.vic.gov.au/data-protection/agency-reporting-obligations/pdsp-submission/</w:t>
              </w:r>
            </w:hyperlink>
          </w:p>
          <w:p w:rsidR="00D85D70" w:rsidRPr="002A622A" w:rsidRDefault="00D85D70"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When will the Information Security Management Collection version be available please?</w:t>
            </w:r>
          </w:p>
        </w:tc>
        <w:tc>
          <w:tcPr>
            <w:tcW w:w="5791" w:type="dxa"/>
            <w:shd w:val="clear" w:color="auto" w:fill="F2F2F2"/>
          </w:tcPr>
          <w:p w:rsidR="00377068" w:rsidRDefault="002A622A" w:rsidP="000A3A47">
            <w:pPr>
              <w:pStyle w:val="Linebreak11pt"/>
            </w:pPr>
            <w:r w:rsidRPr="002A622A">
              <w:t xml:space="preserve">The </w:t>
            </w:r>
            <w:r w:rsidR="00377068">
              <w:t xml:space="preserve">former VPDSF Information Security Management </w:t>
            </w:r>
            <w:r w:rsidRPr="002A622A">
              <w:t>Collection has been split up into three practitioner guides</w:t>
            </w:r>
            <w:r w:rsidR="00377068">
              <w:t xml:space="preserve">. These can be downloaded from </w:t>
            </w:r>
            <w:r w:rsidRPr="002A622A">
              <w:t>our websit</w:t>
            </w:r>
            <w:r w:rsidR="00377068">
              <w:t xml:space="preserve">e. </w:t>
            </w:r>
          </w:p>
          <w:p w:rsidR="00377068" w:rsidRDefault="00377068" w:rsidP="000A3A47">
            <w:pPr>
              <w:pStyle w:val="Linebreak11pt"/>
            </w:pPr>
          </w:p>
          <w:p w:rsidR="002A622A" w:rsidRDefault="00377068" w:rsidP="000A3A47">
            <w:pPr>
              <w:pStyle w:val="Linebreak11pt"/>
            </w:pPr>
            <w:r>
              <w:t>P</w:t>
            </w:r>
            <w:r w:rsidRPr="002A622A">
              <w:t xml:space="preserve">lease visit the </w:t>
            </w:r>
            <w:hyperlink r:id="rId23" w:history="1">
              <w:r w:rsidRPr="00377068">
                <w:rPr>
                  <w:rStyle w:val="Hyperlink"/>
                </w:rPr>
                <w:t>VPDSF Resources</w:t>
              </w:r>
            </w:hyperlink>
            <w:r w:rsidRPr="002A622A">
              <w:t xml:space="preserve"> page</w:t>
            </w:r>
            <w:r>
              <w:t xml:space="preserve"> of the OVIC website to download your copy. </w:t>
            </w:r>
          </w:p>
          <w:p w:rsidR="00377068" w:rsidRPr="002A622A" w:rsidRDefault="00377068"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Where can I find a list of the Elements?</w:t>
            </w:r>
          </w:p>
        </w:tc>
        <w:tc>
          <w:tcPr>
            <w:tcW w:w="5791" w:type="dxa"/>
            <w:shd w:val="clear" w:color="auto" w:fill="F2F2F2"/>
          </w:tcPr>
          <w:p w:rsidR="002A622A" w:rsidRDefault="002A622A" w:rsidP="000A3A47">
            <w:pPr>
              <w:pStyle w:val="Linebreak11pt"/>
            </w:pPr>
            <w:r w:rsidRPr="002A622A">
              <w:t xml:space="preserve">A list of the Elements can be found in the VPDSS Implementation Guide, found here: </w:t>
            </w:r>
            <w:hyperlink r:id="rId24" w:history="1">
              <w:r w:rsidRPr="00494CFB">
                <w:rPr>
                  <w:rStyle w:val="Hyperlink"/>
                </w:rPr>
                <w:t>https://ovic.vic.gov.au/data-protection/standards/</w:t>
              </w:r>
            </w:hyperlink>
          </w:p>
          <w:p w:rsidR="00377068" w:rsidRPr="002A622A" w:rsidRDefault="00377068"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Where can I learn more about the new protective marking scheme?</w:t>
            </w:r>
          </w:p>
        </w:tc>
        <w:tc>
          <w:tcPr>
            <w:tcW w:w="5791" w:type="dxa"/>
            <w:shd w:val="clear" w:color="auto" w:fill="F2F2F2"/>
          </w:tcPr>
          <w:p w:rsidR="002A622A" w:rsidRDefault="002A622A" w:rsidP="000A3A47">
            <w:pPr>
              <w:pStyle w:val="Linebreak11pt"/>
            </w:pPr>
            <w:r w:rsidRPr="002A622A">
              <w:t xml:space="preserve">For information on selecting an appropriate marking under the new scheme, please visit the </w:t>
            </w:r>
            <w:hyperlink r:id="rId25" w:history="1">
              <w:r w:rsidRPr="00377068">
                <w:rPr>
                  <w:rStyle w:val="Hyperlink"/>
                </w:rPr>
                <w:t>VPDSF Resources</w:t>
              </w:r>
            </w:hyperlink>
            <w:r w:rsidRPr="002A622A">
              <w:t xml:space="preserve"> page</w:t>
            </w:r>
            <w:r w:rsidR="00377068">
              <w:t xml:space="preserve"> of the OVIC website. </w:t>
            </w:r>
          </w:p>
          <w:p w:rsidR="00377068" w:rsidRPr="002A622A" w:rsidRDefault="00377068"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Who was consulted in the redevelopment of the Standards?</w:t>
            </w:r>
          </w:p>
        </w:tc>
        <w:tc>
          <w:tcPr>
            <w:tcW w:w="5791" w:type="dxa"/>
            <w:shd w:val="clear" w:color="auto" w:fill="F2F2F2"/>
          </w:tcPr>
          <w:p w:rsidR="002A622A" w:rsidRDefault="002A622A" w:rsidP="000A3A47">
            <w:pPr>
              <w:pStyle w:val="Linebreak11pt"/>
            </w:pPr>
            <w:r w:rsidRPr="002A622A">
              <w:t xml:space="preserve">An invitation to </w:t>
            </w:r>
            <w:r w:rsidR="00531832">
              <w:t>provide feedback on the redevelopment of the Standards was</w:t>
            </w:r>
            <w:r w:rsidRPr="002A622A">
              <w:t xml:space="preserve"> sent out to VISN members, VPS personnel, industry partners and members of the public.</w:t>
            </w:r>
          </w:p>
          <w:p w:rsidR="00377068" w:rsidRPr="002A622A" w:rsidRDefault="00377068"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lastRenderedPageBreak/>
              <w:t>Will OVIC issue a compliance report similar to the PSPF Compliance report that shows maturity and security status across the state?</w:t>
            </w:r>
          </w:p>
        </w:tc>
        <w:tc>
          <w:tcPr>
            <w:tcW w:w="5791" w:type="dxa"/>
            <w:shd w:val="clear" w:color="auto" w:fill="F2F2F2"/>
          </w:tcPr>
          <w:p w:rsidR="002A622A" w:rsidRDefault="00D01EAD" w:rsidP="000A3A47">
            <w:pPr>
              <w:pStyle w:val="Linebreak11pt"/>
            </w:pPr>
            <w:r>
              <w:t>With</w:t>
            </w:r>
            <w:r w:rsidR="002A622A" w:rsidRPr="002A622A">
              <w:t xml:space="preserve"> the</w:t>
            </w:r>
            <w:r>
              <w:t xml:space="preserve"> release of the</w:t>
            </w:r>
            <w:r w:rsidR="002A622A" w:rsidRPr="002A622A">
              <w:t xml:space="preserve"> </w:t>
            </w:r>
            <w:hyperlink r:id="rId26" w:history="1">
              <w:r w:rsidR="002A622A" w:rsidRPr="00D01EAD">
                <w:rPr>
                  <w:rStyle w:val="Hyperlink"/>
                </w:rPr>
                <w:t>new PDSP form</w:t>
              </w:r>
            </w:hyperlink>
            <w:r>
              <w:t>, OVIC</w:t>
            </w:r>
            <w:r w:rsidR="002A622A" w:rsidRPr="002A622A">
              <w:t xml:space="preserve"> </w:t>
            </w:r>
            <w:r>
              <w:t xml:space="preserve">will be able to analyse organisations responses in a more efficient and effective way. </w:t>
            </w:r>
          </w:p>
          <w:p w:rsidR="00D01EAD" w:rsidRDefault="00D01EAD" w:rsidP="000A3A47">
            <w:pPr>
              <w:pStyle w:val="Linebreak11pt"/>
            </w:pPr>
          </w:p>
          <w:p w:rsidR="00D01EAD" w:rsidRDefault="00D01EAD" w:rsidP="000A3A47">
            <w:pPr>
              <w:pStyle w:val="Linebreak11pt"/>
            </w:pPr>
            <w:r>
              <w:t xml:space="preserve">This analysis will then be fed back to organisations to enhance their information security work programs. </w:t>
            </w:r>
          </w:p>
          <w:p w:rsidR="00D01EAD" w:rsidRPr="002A622A" w:rsidRDefault="00D01EAD"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Will the Standards / Framework be re-named to VPISF VPISS?</w:t>
            </w:r>
          </w:p>
        </w:tc>
        <w:tc>
          <w:tcPr>
            <w:tcW w:w="5791" w:type="dxa"/>
            <w:shd w:val="clear" w:color="auto" w:fill="F2F2F2"/>
          </w:tcPr>
          <w:p w:rsidR="002A622A" w:rsidRDefault="002A622A" w:rsidP="000A3A47">
            <w:pPr>
              <w:pStyle w:val="Linebreak11pt"/>
            </w:pPr>
            <w:r w:rsidRPr="002A622A">
              <w:t>Not at this stage</w:t>
            </w:r>
            <w:r w:rsidR="00D01EAD">
              <w:t xml:space="preserve">. </w:t>
            </w:r>
            <w:r w:rsidRPr="002A622A">
              <w:t xml:space="preserve"> </w:t>
            </w:r>
            <w:r w:rsidR="00D01EAD">
              <w:t>W</w:t>
            </w:r>
            <w:r w:rsidRPr="002A622A">
              <w:t>e are bound by the terms used in the Privacy and Data Protection Act so the terms VPDSF and VPDSS will continue to be used</w:t>
            </w:r>
            <w:r w:rsidR="00D01EAD">
              <w:t>.</w:t>
            </w:r>
          </w:p>
          <w:p w:rsidR="00D01EAD" w:rsidRPr="002A622A" w:rsidRDefault="00D01EAD" w:rsidP="000A3A47">
            <w:pPr>
              <w:pStyle w:val="Linebreak11pt"/>
            </w:pPr>
          </w:p>
        </w:tc>
      </w:tr>
      <w:tr w:rsidR="002A622A" w:rsidRPr="00B37C5F" w:rsidTr="002E1E57">
        <w:tc>
          <w:tcPr>
            <w:tcW w:w="3843" w:type="dxa"/>
            <w:shd w:val="clear" w:color="auto" w:fill="F2F2F2"/>
          </w:tcPr>
          <w:p w:rsidR="002A622A" w:rsidRDefault="002A622A" w:rsidP="008B7923">
            <w:pPr>
              <w:pStyle w:val="TableBody"/>
              <w:rPr>
                <w:bCs w:val="0"/>
              </w:rPr>
            </w:pPr>
            <w:r w:rsidRPr="002A622A">
              <w:rPr>
                <w:bCs w:val="0"/>
              </w:rPr>
              <w:t xml:space="preserve">Will you be providing guidance on the maturity levels in the </w:t>
            </w:r>
            <w:r w:rsidR="00D01EAD" w:rsidRPr="002A622A">
              <w:rPr>
                <w:bCs w:val="0"/>
              </w:rPr>
              <w:t>self-assessment</w:t>
            </w:r>
            <w:r w:rsidRPr="002A622A">
              <w:rPr>
                <w:bCs w:val="0"/>
              </w:rPr>
              <w:t>?</w:t>
            </w:r>
          </w:p>
          <w:p w:rsidR="00D01EAD" w:rsidRPr="002A622A" w:rsidRDefault="00D01EAD" w:rsidP="008B7923">
            <w:pPr>
              <w:pStyle w:val="TableBody"/>
              <w:rPr>
                <w:bCs w:val="0"/>
              </w:rPr>
            </w:pPr>
          </w:p>
        </w:tc>
        <w:tc>
          <w:tcPr>
            <w:tcW w:w="5791" w:type="dxa"/>
            <w:shd w:val="clear" w:color="auto" w:fill="F2F2F2"/>
          </w:tcPr>
          <w:p w:rsidR="002A622A" w:rsidRPr="002A622A" w:rsidRDefault="002A622A" w:rsidP="000A3A47">
            <w:pPr>
              <w:pStyle w:val="Linebreak11pt"/>
            </w:pPr>
            <w:r w:rsidRPr="002A622A">
              <w:t>Yes!</w:t>
            </w: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Does</w:t>
            </w:r>
            <w:r w:rsidR="00D01EAD">
              <w:rPr>
                <w:bCs w:val="0"/>
              </w:rPr>
              <w:t xml:space="preserve"> a SRPA</w:t>
            </w:r>
            <w:r w:rsidRPr="002A622A">
              <w:rPr>
                <w:bCs w:val="0"/>
              </w:rPr>
              <w:t xml:space="preserve"> need to be redone in accordance with new standards</w:t>
            </w:r>
            <w:r w:rsidR="00D01EAD">
              <w:rPr>
                <w:bCs w:val="0"/>
              </w:rPr>
              <w:t>, o</w:t>
            </w:r>
            <w:r w:rsidRPr="002A622A">
              <w:rPr>
                <w:bCs w:val="0"/>
              </w:rPr>
              <w:t xml:space="preserve">r can we use old (still valid) </w:t>
            </w:r>
            <w:r w:rsidR="00D01EAD">
              <w:rPr>
                <w:bCs w:val="0"/>
              </w:rPr>
              <w:t>SRPA</w:t>
            </w:r>
            <w:r w:rsidRPr="002A622A">
              <w:rPr>
                <w:bCs w:val="0"/>
              </w:rPr>
              <w:t xml:space="preserve"> to develop self</w:t>
            </w:r>
            <w:r w:rsidR="00D01EAD">
              <w:rPr>
                <w:bCs w:val="0"/>
              </w:rPr>
              <w:t>-</w:t>
            </w:r>
            <w:r w:rsidRPr="002A622A">
              <w:rPr>
                <w:bCs w:val="0"/>
              </w:rPr>
              <w:t>assessment</w:t>
            </w:r>
            <w:r w:rsidR="00D01EAD">
              <w:rPr>
                <w:bCs w:val="0"/>
              </w:rPr>
              <w:t xml:space="preserve">. </w:t>
            </w:r>
          </w:p>
        </w:tc>
        <w:tc>
          <w:tcPr>
            <w:tcW w:w="5791" w:type="dxa"/>
            <w:shd w:val="clear" w:color="auto" w:fill="F2F2F2"/>
          </w:tcPr>
          <w:p w:rsidR="00D01EAD" w:rsidRDefault="002A622A" w:rsidP="000A3A47">
            <w:pPr>
              <w:pStyle w:val="Linebreak11pt"/>
            </w:pPr>
            <w:r w:rsidRPr="002A622A">
              <w:t xml:space="preserve">A Security Risk Profile </w:t>
            </w:r>
            <w:r w:rsidR="00D01EAD" w:rsidRPr="002A622A">
              <w:t>Assessment</w:t>
            </w:r>
            <w:r w:rsidRPr="002A622A">
              <w:t xml:space="preserve"> (SRPA) is not an artefact or document. Rather, the </w:t>
            </w:r>
            <w:r w:rsidR="00D01EAD" w:rsidRPr="002A622A">
              <w:t xml:space="preserve">term </w:t>
            </w:r>
            <w:r w:rsidR="00D01EAD">
              <w:t xml:space="preserve">‘SRPA’ </w:t>
            </w:r>
            <w:r w:rsidRPr="002A622A">
              <w:t xml:space="preserve">refers to a process under which organisations continually assess their information security risks. </w:t>
            </w:r>
          </w:p>
          <w:p w:rsidR="00D01EAD" w:rsidRDefault="00D01EAD" w:rsidP="000A3A47">
            <w:pPr>
              <w:pStyle w:val="Linebreak11pt"/>
            </w:pPr>
          </w:p>
          <w:p w:rsidR="002A622A" w:rsidRDefault="00D01EAD" w:rsidP="000A3A47">
            <w:pPr>
              <w:pStyle w:val="Linebreak11pt"/>
            </w:pPr>
            <w:r w:rsidRPr="002A622A">
              <w:t>Organisations</w:t>
            </w:r>
            <w:r w:rsidR="002A622A" w:rsidRPr="002A622A">
              <w:t xml:space="preserve"> should revisit their risk assessments and see whether these are still current, updating them where required. These will inform the PDSP due in August 2020.</w:t>
            </w:r>
          </w:p>
          <w:p w:rsidR="00D01EAD" w:rsidRPr="002A622A" w:rsidRDefault="00D01EAD"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How does information notification scheme relate to DRFs cyber incident response service / will you be working with DTF in areas where they cross over?</w:t>
            </w:r>
          </w:p>
        </w:tc>
        <w:tc>
          <w:tcPr>
            <w:tcW w:w="5791" w:type="dxa"/>
            <w:shd w:val="clear" w:color="auto" w:fill="F2F2F2"/>
          </w:tcPr>
          <w:p w:rsidR="00D01EAD" w:rsidRDefault="002A622A" w:rsidP="000A3A47">
            <w:pPr>
              <w:pStyle w:val="Linebreak11pt"/>
            </w:pPr>
            <w:r w:rsidRPr="002A622A">
              <w:t xml:space="preserve">In answering this question, we have assumed reference to DTF was a typo and it was instead intended to read DPC. </w:t>
            </w:r>
          </w:p>
          <w:p w:rsidR="00D01EAD" w:rsidRDefault="00D01EAD" w:rsidP="000A3A47">
            <w:pPr>
              <w:pStyle w:val="Linebreak11pt"/>
            </w:pPr>
          </w:p>
          <w:p w:rsidR="00D01EAD" w:rsidRDefault="002A622A" w:rsidP="000A3A47">
            <w:pPr>
              <w:pStyle w:val="Linebreak11pt"/>
            </w:pPr>
            <w:r w:rsidRPr="002A622A">
              <w:t>When developing the Incident Notification Scheme, OVIC worked with the DPC</w:t>
            </w:r>
            <w:r w:rsidR="00D01EAD">
              <w:t xml:space="preserve"> team who manage the</w:t>
            </w:r>
            <w:r w:rsidRPr="002A622A">
              <w:t xml:space="preserve"> Cyber Incident Response Service (CIRS), ensur</w:t>
            </w:r>
            <w:r w:rsidR="00D01EAD">
              <w:t>ing</w:t>
            </w:r>
            <w:r w:rsidRPr="002A622A">
              <w:t xml:space="preserve"> both groups referenced consistent</w:t>
            </w:r>
            <w:r w:rsidR="00D01EAD">
              <w:t xml:space="preserve"> incident</w:t>
            </w:r>
            <w:r w:rsidRPr="002A622A">
              <w:t xml:space="preserve"> notification thresholds and criteria. </w:t>
            </w:r>
          </w:p>
          <w:p w:rsidR="00D01EAD" w:rsidRDefault="00D01EAD" w:rsidP="000A3A47">
            <w:pPr>
              <w:pStyle w:val="Linebreak11pt"/>
            </w:pPr>
          </w:p>
          <w:p w:rsidR="00D01EAD" w:rsidRDefault="002A622A" w:rsidP="000A3A47">
            <w:pPr>
              <w:pStyle w:val="Linebreak11pt"/>
            </w:pPr>
            <w:r w:rsidRPr="002A622A">
              <w:t>Further information on the scheme can be found under the VPDSF Resources section of the OVIC websit</w:t>
            </w:r>
            <w:r w:rsidR="00D01EAD">
              <w:t xml:space="preserve">e; </w:t>
            </w:r>
          </w:p>
          <w:p w:rsidR="00D01EAD" w:rsidRDefault="00AB4EC9" w:rsidP="00D01EAD">
            <w:pPr>
              <w:pStyle w:val="Linebreak11pt"/>
              <w:numPr>
                <w:ilvl w:val="0"/>
                <w:numId w:val="3"/>
              </w:numPr>
            </w:pPr>
            <w:hyperlink r:id="rId27" w:history="1">
              <w:r w:rsidR="00D01EAD" w:rsidRPr="00D01EAD">
                <w:rPr>
                  <w:rStyle w:val="Hyperlink"/>
                </w:rPr>
                <w:t>Overview of Incident Notification Scheme</w:t>
              </w:r>
            </w:hyperlink>
          </w:p>
          <w:p w:rsidR="00D01EAD" w:rsidRDefault="00AB4EC9" w:rsidP="00D01EAD">
            <w:pPr>
              <w:pStyle w:val="Linebreak11pt"/>
              <w:numPr>
                <w:ilvl w:val="0"/>
                <w:numId w:val="3"/>
              </w:numPr>
            </w:pPr>
            <w:hyperlink r:id="rId28" w:history="1">
              <w:r w:rsidR="00D01EAD" w:rsidRPr="00D01EAD">
                <w:rPr>
                  <w:rStyle w:val="Hyperlink"/>
                </w:rPr>
                <w:t>How to notify</w:t>
              </w:r>
            </w:hyperlink>
          </w:p>
          <w:p w:rsidR="00D01EAD" w:rsidRPr="002A622A" w:rsidRDefault="00D01EAD" w:rsidP="00D01EAD">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t xml:space="preserve">Is it </w:t>
            </w:r>
            <w:r w:rsidR="00D01EAD" w:rsidRPr="002A622A">
              <w:rPr>
                <w:bCs w:val="0"/>
              </w:rPr>
              <w:t>possible to</w:t>
            </w:r>
            <w:r w:rsidRPr="002A622A">
              <w:rPr>
                <w:bCs w:val="0"/>
              </w:rPr>
              <w:t xml:space="preserve"> release all documentation in a spreadsheet format?  (My intuition is that many of us end up going through the same copy and reformat process)</w:t>
            </w:r>
          </w:p>
        </w:tc>
        <w:tc>
          <w:tcPr>
            <w:tcW w:w="5791" w:type="dxa"/>
            <w:shd w:val="clear" w:color="auto" w:fill="F2F2F2"/>
          </w:tcPr>
          <w:p w:rsidR="00D01EAD" w:rsidRDefault="002A622A" w:rsidP="000A3A47">
            <w:pPr>
              <w:pStyle w:val="Linebreak11pt"/>
            </w:pPr>
            <w:r w:rsidRPr="002A622A">
              <w:t xml:space="preserve">In this recent release of </w:t>
            </w:r>
            <w:r w:rsidR="00D01EAD" w:rsidRPr="002A622A">
              <w:t>material,</w:t>
            </w:r>
            <w:r w:rsidRPr="002A622A">
              <w:t xml:space="preserve"> the Information Security Unit has produced a </w:t>
            </w:r>
            <w:hyperlink r:id="rId29" w:history="1">
              <w:r w:rsidRPr="00D01EAD">
                <w:rPr>
                  <w:rStyle w:val="Hyperlink"/>
                </w:rPr>
                <w:t>Document Map (November 2019)</w:t>
              </w:r>
            </w:hyperlink>
            <w:r w:rsidRPr="002A622A">
              <w:t xml:space="preserve"> to help organisations readily identify what guidance material is available.</w:t>
            </w:r>
          </w:p>
          <w:p w:rsidR="00D01EAD" w:rsidRDefault="00D01EAD" w:rsidP="000A3A47">
            <w:pPr>
              <w:pStyle w:val="Linebreak11pt"/>
            </w:pPr>
          </w:p>
          <w:p w:rsidR="002A622A" w:rsidRDefault="00D01EAD" w:rsidP="000A3A47">
            <w:pPr>
              <w:pStyle w:val="Linebreak11pt"/>
            </w:pPr>
            <w:r>
              <w:t>W</w:t>
            </w:r>
            <w:r w:rsidR="002A622A" w:rsidRPr="002A622A">
              <w:t xml:space="preserve">here appropriate, </w:t>
            </w:r>
            <w:r>
              <w:t>s</w:t>
            </w:r>
            <w:r w:rsidRPr="002A622A">
              <w:t>ome of this guidance material</w:t>
            </w:r>
            <w:r>
              <w:t xml:space="preserve"> i</w:t>
            </w:r>
            <w:r w:rsidR="002A622A" w:rsidRPr="002A622A">
              <w:t>s available in excel form.</w:t>
            </w:r>
          </w:p>
          <w:p w:rsidR="00D01EAD" w:rsidRPr="002A622A" w:rsidRDefault="00D01EAD" w:rsidP="000A3A47">
            <w:pPr>
              <w:pStyle w:val="Linebreak11pt"/>
            </w:pPr>
          </w:p>
        </w:tc>
      </w:tr>
      <w:tr w:rsidR="002A622A" w:rsidRPr="00B37C5F" w:rsidTr="002E1E57">
        <w:tc>
          <w:tcPr>
            <w:tcW w:w="3843" w:type="dxa"/>
            <w:shd w:val="clear" w:color="auto" w:fill="F2F2F2"/>
          </w:tcPr>
          <w:p w:rsidR="002A622A" w:rsidRPr="002A622A" w:rsidRDefault="002A622A" w:rsidP="008B7923">
            <w:pPr>
              <w:pStyle w:val="TableBody"/>
              <w:rPr>
                <w:bCs w:val="0"/>
              </w:rPr>
            </w:pPr>
            <w:r w:rsidRPr="002A622A">
              <w:rPr>
                <w:bCs w:val="0"/>
              </w:rPr>
              <w:lastRenderedPageBreak/>
              <w:t>What happens to the current actions that arose from the v1.0</w:t>
            </w:r>
          </w:p>
        </w:tc>
        <w:tc>
          <w:tcPr>
            <w:tcW w:w="5791" w:type="dxa"/>
            <w:shd w:val="clear" w:color="auto" w:fill="F2F2F2"/>
          </w:tcPr>
          <w:p w:rsidR="002A622A" w:rsidRDefault="002A622A" w:rsidP="000A3A47">
            <w:pPr>
              <w:pStyle w:val="Linebreak11pt"/>
            </w:pPr>
            <w:r w:rsidRPr="002A622A">
              <w:t xml:space="preserve">Organisations </w:t>
            </w:r>
            <w:r w:rsidR="002E1E57">
              <w:t>should</w:t>
            </w:r>
            <w:r w:rsidRPr="002A622A">
              <w:t xml:space="preserve"> map their existing efforts, using the guidance tools provided under the VPDSF Resources section of the OVIC website</w:t>
            </w:r>
            <w:r w:rsidR="002E1E57">
              <w:t>:</w:t>
            </w:r>
          </w:p>
          <w:p w:rsidR="002E1E57" w:rsidRDefault="00AB4EC9" w:rsidP="002E1E57">
            <w:pPr>
              <w:pStyle w:val="Linebreak11pt"/>
              <w:numPr>
                <w:ilvl w:val="0"/>
                <w:numId w:val="4"/>
              </w:numPr>
            </w:pPr>
            <w:hyperlink r:id="rId30" w:history="1">
              <w:r w:rsidR="002E1E57" w:rsidRPr="002E1E57">
                <w:rPr>
                  <w:rStyle w:val="Hyperlink"/>
                </w:rPr>
                <w:t>VPDSS 2.0 to 1.0 Mapping</w:t>
              </w:r>
            </w:hyperlink>
          </w:p>
          <w:p w:rsidR="002E1E57" w:rsidRPr="002A622A" w:rsidRDefault="002E1E57" w:rsidP="000A3A47">
            <w:pPr>
              <w:pStyle w:val="Linebreak11pt"/>
            </w:pPr>
          </w:p>
        </w:tc>
      </w:tr>
      <w:tr w:rsidR="002A622A" w:rsidRPr="00B37C5F" w:rsidTr="002E1E57">
        <w:tc>
          <w:tcPr>
            <w:tcW w:w="3843" w:type="dxa"/>
            <w:shd w:val="clear" w:color="auto" w:fill="F2F2F2"/>
          </w:tcPr>
          <w:p w:rsidR="002A622A" w:rsidRPr="002A622A" w:rsidRDefault="002A622A" w:rsidP="002A622A">
            <w:pPr>
              <w:pStyle w:val="TableBody"/>
              <w:rPr>
                <w:bCs w:val="0"/>
              </w:rPr>
            </w:pPr>
            <w:r w:rsidRPr="002A622A">
              <w:rPr>
                <w:bCs w:val="0"/>
              </w:rPr>
              <w:t>Question around Organisations previous PDSP action plans mapping to the new PDSP reporting requirements</w:t>
            </w:r>
            <w:r w:rsidR="002E1E57">
              <w:rPr>
                <w:bCs w:val="0"/>
              </w:rPr>
              <w:t xml:space="preserve">. </w:t>
            </w:r>
          </w:p>
          <w:p w:rsidR="002E1E57" w:rsidRDefault="002E1E57" w:rsidP="002A622A">
            <w:pPr>
              <w:pStyle w:val="TableBody"/>
              <w:rPr>
                <w:bCs w:val="0"/>
              </w:rPr>
            </w:pPr>
          </w:p>
          <w:p w:rsidR="002A622A" w:rsidRDefault="002A622A" w:rsidP="002A622A">
            <w:pPr>
              <w:pStyle w:val="TableBody"/>
              <w:rPr>
                <w:bCs w:val="0"/>
              </w:rPr>
            </w:pPr>
            <w:r w:rsidRPr="002A622A">
              <w:rPr>
                <w:bCs w:val="0"/>
              </w:rPr>
              <w:t xml:space="preserve">Concerns around action plans that arose from issues under the </w:t>
            </w:r>
            <w:r w:rsidR="002E1E57" w:rsidRPr="002A622A">
              <w:rPr>
                <w:bCs w:val="0"/>
              </w:rPr>
              <w:t>previous</w:t>
            </w:r>
            <w:r w:rsidRPr="002A622A">
              <w:rPr>
                <w:bCs w:val="0"/>
              </w:rPr>
              <w:t xml:space="preserve"> scheme not translating into the new scheme or a new action plan</w:t>
            </w:r>
            <w:r w:rsidR="002E1E57">
              <w:rPr>
                <w:bCs w:val="0"/>
              </w:rPr>
              <w:t>.</w:t>
            </w:r>
          </w:p>
          <w:p w:rsidR="002E1E57" w:rsidRPr="002A622A" w:rsidRDefault="002E1E57" w:rsidP="002A622A">
            <w:pPr>
              <w:pStyle w:val="TableBody"/>
              <w:rPr>
                <w:bCs w:val="0"/>
              </w:rPr>
            </w:pPr>
          </w:p>
        </w:tc>
        <w:tc>
          <w:tcPr>
            <w:tcW w:w="5791" w:type="dxa"/>
            <w:shd w:val="clear" w:color="auto" w:fill="F2F2F2"/>
          </w:tcPr>
          <w:p w:rsidR="002E1E57" w:rsidRDefault="002A622A" w:rsidP="000A3A47">
            <w:pPr>
              <w:pStyle w:val="Linebreak11pt"/>
            </w:pPr>
            <w:r w:rsidRPr="002A622A">
              <w:t xml:space="preserve">The Information Security Unit has produced a mapping document, outlining transition from the old </w:t>
            </w:r>
            <w:hyperlink r:id="rId31" w:history="1">
              <w:r w:rsidRPr="002E1E57">
                <w:rPr>
                  <w:rStyle w:val="Hyperlink"/>
                </w:rPr>
                <w:t>Standards (V1.0) to the new Standards (V2.0).</w:t>
              </w:r>
            </w:hyperlink>
            <w:r w:rsidRPr="002A622A">
              <w:t xml:space="preserve"> </w:t>
            </w:r>
          </w:p>
          <w:p w:rsidR="002E1E57" w:rsidRDefault="002E1E57" w:rsidP="000A3A47">
            <w:pPr>
              <w:pStyle w:val="Linebreak11pt"/>
            </w:pPr>
          </w:p>
          <w:p w:rsidR="002E1E57" w:rsidRDefault="002A622A" w:rsidP="000A3A47">
            <w:pPr>
              <w:pStyle w:val="Linebreak11pt"/>
            </w:pPr>
            <w:r w:rsidRPr="002A622A">
              <w:t xml:space="preserve">Previous action plans should map consistently to the new scheme. </w:t>
            </w:r>
          </w:p>
          <w:p w:rsidR="002E1E57" w:rsidRDefault="002E1E57" w:rsidP="000A3A47">
            <w:pPr>
              <w:pStyle w:val="Linebreak11pt"/>
            </w:pPr>
          </w:p>
          <w:p w:rsidR="002A622A" w:rsidRPr="002A622A" w:rsidRDefault="002A622A" w:rsidP="000A3A47">
            <w:pPr>
              <w:pStyle w:val="Linebreak11pt"/>
            </w:pPr>
            <w:r w:rsidRPr="002A622A">
              <w:t>If you have any queries, please speak with the Information Security Team.</w:t>
            </w:r>
          </w:p>
        </w:tc>
      </w:tr>
      <w:tr w:rsidR="002E1E57" w:rsidRPr="00B37C5F" w:rsidTr="002E1E57">
        <w:tc>
          <w:tcPr>
            <w:tcW w:w="3843" w:type="dxa"/>
            <w:shd w:val="clear" w:color="auto" w:fill="F2F2F2"/>
          </w:tcPr>
          <w:p w:rsidR="002E1E57" w:rsidRDefault="002E1E57" w:rsidP="002000F4">
            <w:pPr>
              <w:pStyle w:val="TableBody"/>
              <w:rPr>
                <w:bCs w:val="0"/>
              </w:rPr>
            </w:pPr>
            <w:r w:rsidRPr="002A622A">
              <w:rPr>
                <w:bCs w:val="0"/>
              </w:rPr>
              <w:t>Question around third party arrangements:</w:t>
            </w:r>
            <w:r>
              <w:rPr>
                <w:bCs w:val="0"/>
              </w:rPr>
              <w:t xml:space="preserve"> Is</w:t>
            </w:r>
            <w:r w:rsidRPr="002A622A">
              <w:rPr>
                <w:bCs w:val="0"/>
              </w:rPr>
              <w:t xml:space="preserve"> guidance</w:t>
            </w:r>
            <w:r>
              <w:rPr>
                <w:bCs w:val="0"/>
              </w:rPr>
              <w:t xml:space="preserve"> going to be issued</w:t>
            </w:r>
            <w:r w:rsidRPr="002A622A">
              <w:rPr>
                <w:bCs w:val="0"/>
              </w:rPr>
              <w:t xml:space="preserve"> for practitioners?</w:t>
            </w:r>
          </w:p>
          <w:p w:rsidR="002E1E57" w:rsidRPr="002A622A" w:rsidRDefault="002E1E57" w:rsidP="002000F4">
            <w:pPr>
              <w:pStyle w:val="TableBody"/>
              <w:rPr>
                <w:bCs w:val="0"/>
              </w:rPr>
            </w:pPr>
          </w:p>
        </w:tc>
        <w:tc>
          <w:tcPr>
            <w:tcW w:w="5791" w:type="dxa"/>
            <w:shd w:val="clear" w:color="auto" w:fill="F2F2F2"/>
          </w:tcPr>
          <w:p w:rsidR="002E1E57" w:rsidRPr="002A622A" w:rsidRDefault="002E1E57" w:rsidP="002000F4">
            <w:pPr>
              <w:pStyle w:val="Linebreak11pt"/>
            </w:pPr>
            <w:r w:rsidRPr="002A622A">
              <w:t>Yes - Guidance on this topic is coming</w:t>
            </w:r>
          </w:p>
        </w:tc>
      </w:tr>
      <w:tr w:rsidR="002A622A" w:rsidRPr="00B37C5F" w:rsidTr="002E1E57">
        <w:tc>
          <w:tcPr>
            <w:tcW w:w="3843" w:type="dxa"/>
            <w:shd w:val="clear" w:color="auto" w:fill="F2F2F2"/>
          </w:tcPr>
          <w:p w:rsidR="002A622A" w:rsidRPr="002A622A" w:rsidRDefault="002A622A" w:rsidP="002A622A">
            <w:pPr>
              <w:pStyle w:val="TableBody"/>
              <w:rPr>
                <w:bCs w:val="0"/>
              </w:rPr>
            </w:pPr>
            <w:r w:rsidRPr="002A622A">
              <w:rPr>
                <w:bCs w:val="0"/>
              </w:rPr>
              <w:t>When will you update the Framework?</w:t>
            </w:r>
          </w:p>
        </w:tc>
        <w:tc>
          <w:tcPr>
            <w:tcW w:w="5791" w:type="dxa"/>
            <w:shd w:val="clear" w:color="auto" w:fill="F2F2F2"/>
          </w:tcPr>
          <w:p w:rsidR="002A622A" w:rsidRDefault="002A622A" w:rsidP="000A3A47">
            <w:pPr>
              <w:pStyle w:val="Linebreak11pt"/>
            </w:pPr>
            <w:r w:rsidRPr="002A622A">
              <w:t>A refreshed Framework document will be released in February 2020.</w:t>
            </w:r>
          </w:p>
          <w:p w:rsidR="002E1E57" w:rsidRPr="002A622A" w:rsidRDefault="002E1E57" w:rsidP="000A3A47">
            <w:pPr>
              <w:pStyle w:val="Linebreak11pt"/>
            </w:pPr>
          </w:p>
        </w:tc>
      </w:tr>
      <w:tr w:rsidR="002A622A" w:rsidRPr="00B37C5F" w:rsidTr="002E1E57">
        <w:tc>
          <w:tcPr>
            <w:tcW w:w="3843" w:type="dxa"/>
            <w:shd w:val="clear" w:color="auto" w:fill="F2F2F2"/>
          </w:tcPr>
          <w:p w:rsidR="002A622A" w:rsidRPr="002A622A" w:rsidRDefault="002A622A" w:rsidP="002A622A">
            <w:pPr>
              <w:pStyle w:val="TableBody"/>
              <w:rPr>
                <w:bCs w:val="0"/>
              </w:rPr>
            </w:pPr>
            <w:r w:rsidRPr="002A622A">
              <w:rPr>
                <w:bCs w:val="0"/>
              </w:rPr>
              <w:t>Is there a way that we can get endorsement from OVIC regarding implementation of Protective Markings</w:t>
            </w:r>
            <w:r w:rsidR="006504B1">
              <w:rPr>
                <w:bCs w:val="0"/>
              </w:rPr>
              <w:t xml:space="preserve"> that deviate from the current guidance material</w:t>
            </w:r>
            <w:r w:rsidRPr="002A622A">
              <w:rPr>
                <w:bCs w:val="0"/>
              </w:rPr>
              <w:t>?</w:t>
            </w:r>
          </w:p>
        </w:tc>
        <w:tc>
          <w:tcPr>
            <w:tcW w:w="5791" w:type="dxa"/>
            <w:shd w:val="clear" w:color="auto" w:fill="F2F2F2"/>
          </w:tcPr>
          <w:p w:rsidR="002E1E57" w:rsidRDefault="002A622A" w:rsidP="000A3A47">
            <w:pPr>
              <w:pStyle w:val="Linebreak11pt"/>
            </w:pPr>
            <w:r w:rsidRPr="002A622A">
              <w:t xml:space="preserve">The VPDSS protective marking requirements align with those set out in the Commonwealth Protective Security Policy Framework (PSPF). </w:t>
            </w:r>
          </w:p>
          <w:p w:rsidR="002E1E57" w:rsidRDefault="002E1E57" w:rsidP="000A3A47">
            <w:pPr>
              <w:pStyle w:val="Linebreak11pt"/>
            </w:pPr>
          </w:p>
          <w:p w:rsidR="002A622A" w:rsidRDefault="002A622A" w:rsidP="000A3A47">
            <w:pPr>
              <w:pStyle w:val="Linebreak11pt"/>
            </w:pPr>
            <w:r w:rsidRPr="002A622A">
              <w:t>Where organisations seek to deviate from the guidance issued by OVIC, we encourage them to consult with the Information Security Unit first.</w:t>
            </w:r>
          </w:p>
          <w:p w:rsidR="002E1E57" w:rsidRPr="002A622A" w:rsidRDefault="002E1E57" w:rsidP="000A3A47">
            <w:pPr>
              <w:pStyle w:val="Linebreak11pt"/>
            </w:pPr>
          </w:p>
        </w:tc>
      </w:tr>
      <w:tr w:rsidR="002A622A" w:rsidRPr="00B37C5F" w:rsidTr="002E1E57">
        <w:tc>
          <w:tcPr>
            <w:tcW w:w="3843" w:type="dxa"/>
            <w:shd w:val="clear" w:color="auto" w:fill="F2F2F2"/>
          </w:tcPr>
          <w:p w:rsidR="002A622A" w:rsidRDefault="002A622A" w:rsidP="002A622A">
            <w:pPr>
              <w:pStyle w:val="TableBody"/>
              <w:rPr>
                <w:bCs w:val="0"/>
              </w:rPr>
            </w:pPr>
            <w:r w:rsidRPr="002A622A">
              <w:rPr>
                <w:bCs w:val="0"/>
              </w:rPr>
              <w:t>Question around now PDSP which is now PDF based:</w:t>
            </w:r>
          </w:p>
          <w:p w:rsidR="006D3F43" w:rsidRPr="002A622A" w:rsidRDefault="006D3F43" w:rsidP="002A622A">
            <w:pPr>
              <w:pStyle w:val="TableBody"/>
              <w:rPr>
                <w:bCs w:val="0"/>
              </w:rPr>
            </w:pPr>
          </w:p>
          <w:p w:rsidR="002A622A" w:rsidRDefault="002A622A" w:rsidP="002A622A">
            <w:pPr>
              <w:pStyle w:val="TableBody"/>
              <w:rPr>
                <w:bCs w:val="0"/>
              </w:rPr>
            </w:pPr>
            <w:r w:rsidRPr="002A622A">
              <w:rPr>
                <w:bCs w:val="0"/>
              </w:rPr>
              <w:t>Is there going to be an API format associated with the PDF?</w:t>
            </w:r>
          </w:p>
          <w:p w:rsidR="006D3F43" w:rsidRPr="002A622A" w:rsidRDefault="006D3F43" w:rsidP="002A622A">
            <w:pPr>
              <w:pStyle w:val="TableBody"/>
              <w:rPr>
                <w:bCs w:val="0"/>
              </w:rPr>
            </w:pPr>
          </w:p>
          <w:p w:rsidR="002A622A" w:rsidRDefault="002A622A" w:rsidP="002A622A">
            <w:pPr>
              <w:pStyle w:val="TableBody"/>
              <w:rPr>
                <w:bCs w:val="0"/>
              </w:rPr>
            </w:pPr>
            <w:r w:rsidRPr="002A622A">
              <w:rPr>
                <w:bCs w:val="0"/>
              </w:rPr>
              <w:t xml:space="preserve">A csv. format or </w:t>
            </w:r>
            <w:r w:rsidR="006D3F43" w:rsidRPr="002A622A">
              <w:rPr>
                <w:bCs w:val="0"/>
              </w:rPr>
              <w:t>variant</w:t>
            </w:r>
            <w:r w:rsidRPr="002A622A">
              <w:rPr>
                <w:bCs w:val="0"/>
              </w:rPr>
              <w:t>, for example, would be ideal for orgs so that they can extract data from their systems.</w:t>
            </w:r>
          </w:p>
          <w:p w:rsidR="002E1E57" w:rsidRPr="002A622A" w:rsidRDefault="002E1E57" w:rsidP="002A622A">
            <w:pPr>
              <w:pStyle w:val="TableBody"/>
              <w:rPr>
                <w:bCs w:val="0"/>
              </w:rPr>
            </w:pPr>
          </w:p>
        </w:tc>
        <w:tc>
          <w:tcPr>
            <w:tcW w:w="5791" w:type="dxa"/>
            <w:shd w:val="clear" w:color="auto" w:fill="F2F2F2"/>
          </w:tcPr>
          <w:p w:rsidR="002A622A" w:rsidRPr="002A622A" w:rsidRDefault="002A622A" w:rsidP="000A3A47">
            <w:pPr>
              <w:pStyle w:val="Linebreak11pt"/>
            </w:pPr>
            <w:r w:rsidRPr="002A622A">
              <w:t>OVIC has not looked into API capability. The intent of the PDF form was to accurately report back to Government and organisations.</w:t>
            </w:r>
          </w:p>
        </w:tc>
      </w:tr>
      <w:tr w:rsidR="002A622A" w:rsidRPr="00B37C5F" w:rsidTr="002E1E57">
        <w:tc>
          <w:tcPr>
            <w:tcW w:w="3843" w:type="dxa"/>
            <w:shd w:val="clear" w:color="auto" w:fill="F2F2F2"/>
          </w:tcPr>
          <w:p w:rsidR="002A622A" w:rsidRPr="002A622A" w:rsidRDefault="002A622A" w:rsidP="002A622A">
            <w:pPr>
              <w:pStyle w:val="TableBody"/>
              <w:rPr>
                <w:bCs w:val="0"/>
              </w:rPr>
            </w:pPr>
            <w:r w:rsidRPr="002A622A">
              <w:rPr>
                <w:bCs w:val="0"/>
              </w:rPr>
              <w:t>When is reporting required?</w:t>
            </w:r>
          </w:p>
        </w:tc>
        <w:tc>
          <w:tcPr>
            <w:tcW w:w="5791" w:type="dxa"/>
            <w:shd w:val="clear" w:color="auto" w:fill="F2F2F2"/>
          </w:tcPr>
          <w:p w:rsidR="002A622A" w:rsidRDefault="00EA17AE" w:rsidP="000A3A47">
            <w:pPr>
              <w:pStyle w:val="Linebreak11pt"/>
            </w:pPr>
            <w:r>
              <w:t>T</w:t>
            </w:r>
            <w:r w:rsidR="002A622A" w:rsidRPr="002A622A">
              <w:t>he PDSP and attestation is due by no later than 31 August 2020</w:t>
            </w:r>
            <w:r>
              <w:t xml:space="preserve">. For more information, please refer to the OVIC website: </w:t>
            </w:r>
          </w:p>
          <w:p w:rsidR="00EA17AE" w:rsidRDefault="00AB4EC9" w:rsidP="00EA17AE">
            <w:pPr>
              <w:pStyle w:val="Linebreak11pt"/>
              <w:numPr>
                <w:ilvl w:val="0"/>
                <w:numId w:val="4"/>
              </w:numPr>
            </w:pPr>
            <w:hyperlink r:id="rId32" w:history="1">
              <w:r w:rsidR="00EA17AE" w:rsidRPr="00EA17AE">
                <w:rPr>
                  <w:rStyle w:val="Hyperlink"/>
                </w:rPr>
                <w:t>PDSP Submission</w:t>
              </w:r>
            </w:hyperlink>
            <w:r w:rsidR="00EA17AE">
              <w:t xml:space="preserve"> </w:t>
            </w:r>
          </w:p>
          <w:p w:rsidR="002E1E57" w:rsidRPr="002A622A" w:rsidRDefault="002E1E57" w:rsidP="000A3A47">
            <w:pPr>
              <w:pStyle w:val="Linebreak11pt"/>
            </w:pPr>
          </w:p>
        </w:tc>
      </w:tr>
      <w:tr w:rsidR="002A622A" w:rsidRPr="00B37C5F" w:rsidTr="002E1E57">
        <w:tc>
          <w:tcPr>
            <w:tcW w:w="3843" w:type="dxa"/>
            <w:shd w:val="clear" w:color="auto" w:fill="F2F2F2"/>
          </w:tcPr>
          <w:p w:rsidR="002A622A" w:rsidRPr="002A622A" w:rsidRDefault="002A622A" w:rsidP="002A622A">
            <w:pPr>
              <w:pStyle w:val="TableBody"/>
              <w:rPr>
                <w:bCs w:val="0"/>
              </w:rPr>
            </w:pPr>
            <w:r w:rsidRPr="002A622A">
              <w:rPr>
                <w:bCs w:val="0"/>
              </w:rPr>
              <w:t>So, the PDSP is due at the end of August 2020 and Protective Markings are due Oct 2020.</w:t>
            </w:r>
          </w:p>
          <w:p w:rsidR="002A622A" w:rsidRPr="002A622A" w:rsidRDefault="002A622A" w:rsidP="002A622A">
            <w:pPr>
              <w:pStyle w:val="TableBody"/>
              <w:rPr>
                <w:bCs w:val="0"/>
              </w:rPr>
            </w:pPr>
            <w:r w:rsidRPr="002A622A">
              <w:rPr>
                <w:bCs w:val="0"/>
              </w:rPr>
              <w:lastRenderedPageBreak/>
              <w:t>For small organisations are struggling with resources, can you get extensions of time?</w:t>
            </w:r>
          </w:p>
        </w:tc>
        <w:tc>
          <w:tcPr>
            <w:tcW w:w="5791" w:type="dxa"/>
            <w:shd w:val="clear" w:color="auto" w:fill="F2F2F2"/>
          </w:tcPr>
          <w:p w:rsidR="006D3F43" w:rsidRDefault="006D3F43" w:rsidP="000A3A47">
            <w:pPr>
              <w:pStyle w:val="Linebreak11pt"/>
            </w:pPr>
            <w:proofErr w:type="gramStart"/>
            <w:r>
              <w:lastRenderedPageBreak/>
              <w:t>Yes</w:t>
            </w:r>
            <w:proofErr w:type="gramEnd"/>
            <w:r>
              <w:t xml:space="preserve"> this is correct. </w:t>
            </w:r>
          </w:p>
          <w:p w:rsidR="006D3F43" w:rsidRDefault="006D3F43" w:rsidP="000A3A47">
            <w:pPr>
              <w:pStyle w:val="Linebreak11pt"/>
            </w:pPr>
          </w:p>
          <w:p w:rsidR="006D3F43" w:rsidRDefault="006D3F43" w:rsidP="000A3A47">
            <w:pPr>
              <w:pStyle w:val="Linebreak11pt"/>
            </w:pPr>
            <w:r>
              <w:t xml:space="preserve">The PDSP submission timelines are set out in Part Four of the </w:t>
            </w:r>
            <w:r>
              <w:lastRenderedPageBreak/>
              <w:t>Privacy and Data Protection Act 2014. The</w:t>
            </w:r>
            <w:r w:rsidRPr="002A622A">
              <w:t xml:space="preserve"> Standards and subsequent reporting requirements are legislated and need to be completed in the timeframes advised.</w:t>
            </w:r>
          </w:p>
          <w:p w:rsidR="006D3F43" w:rsidRDefault="006D3F43" w:rsidP="000A3A47">
            <w:pPr>
              <w:pStyle w:val="Linebreak11pt"/>
            </w:pPr>
          </w:p>
          <w:p w:rsidR="006D3F43" w:rsidRDefault="006D3F43" w:rsidP="000A3A47">
            <w:pPr>
              <w:pStyle w:val="Linebreak11pt"/>
            </w:pPr>
            <w:r>
              <w:t xml:space="preserve">The October 2020 timeline for the transition of the protective markings was informed by the Commonwealth PSPF requirements. Victorian Government is aligning with these, in order to promote secure information sharing across jurisdictions. </w:t>
            </w:r>
          </w:p>
          <w:p w:rsidR="006D3F43" w:rsidRDefault="006D3F43" w:rsidP="000A3A47">
            <w:pPr>
              <w:pStyle w:val="Linebreak11pt"/>
            </w:pPr>
          </w:p>
          <w:p w:rsidR="002A622A" w:rsidRDefault="002A622A" w:rsidP="000A3A47">
            <w:pPr>
              <w:pStyle w:val="Linebreak11pt"/>
            </w:pPr>
            <w:r w:rsidRPr="002A622A">
              <w:t xml:space="preserve">If there </w:t>
            </w:r>
            <w:r w:rsidR="006D3F43">
              <w:t>are</w:t>
            </w:r>
            <w:r w:rsidRPr="002A622A">
              <w:t xml:space="preserve"> specific </w:t>
            </w:r>
            <w:r w:rsidR="006D3F43">
              <w:t>concerns or issues within your organisation</w:t>
            </w:r>
            <w:r w:rsidRPr="002A622A">
              <w:t xml:space="preserve">, </w:t>
            </w:r>
            <w:r w:rsidR="006D3F43">
              <w:t xml:space="preserve">please </w:t>
            </w:r>
            <w:r w:rsidRPr="002A622A">
              <w:t xml:space="preserve">reach out to our Business Engagement Officers (BEOs). With the commencement of Communities of Practice, in February, there may be opportunity to leverage off the work of other organisations as well. </w:t>
            </w:r>
          </w:p>
          <w:p w:rsidR="002E1E57" w:rsidRDefault="002E1E57" w:rsidP="000A3A47">
            <w:pPr>
              <w:pStyle w:val="Linebreak11pt"/>
            </w:pPr>
          </w:p>
        </w:tc>
      </w:tr>
      <w:tr w:rsidR="002A622A" w:rsidRPr="00B37C5F" w:rsidTr="002E1E57">
        <w:tc>
          <w:tcPr>
            <w:tcW w:w="3843" w:type="dxa"/>
            <w:shd w:val="clear" w:color="auto" w:fill="F2F2F2"/>
          </w:tcPr>
          <w:p w:rsidR="002A622A" w:rsidRPr="002A622A" w:rsidRDefault="002A622A" w:rsidP="002A622A">
            <w:pPr>
              <w:pStyle w:val="TableBody"/>
              <w:rPr>
                <w:bCs w:val="0"/>
              </w:rPr>
            </w:pPr>
            <w:r w:rsidRPr="002A622A">
              <w:rPr>
                <w:bCs w:val="0"/>
              </w:rPr>
              <w:lastRenderedPageBreak/>
              <w:t>How will version 2 impact on implementation of standards. There are concerns around resourcing.</w:t>
            </w:r>
          </w:p>
        </w:tc>
        <w:tc>
          <w:tcPr>
            <w:tcW w:w="5791" w:type="dxa"/>
            <w:shd w:val="clear" w:color="auto" w:fill="F2F2F2"/>
          </w:tcPr>
          <w:p w:rsidR="006D3F43" w:rsidRDefault="002A622A" w:rsidP="000A3A47">
            <w:pPr>
              <w:pStyle w:val="Linebreak11pt"/>
            </w:pPr>
            <w:r w:rsidRPr="002A622A">
              <w:t xml:space="preserve">We understand that Version 2.0 of the Standards will involve some work, however the tools provided on the OVIC website should assist organisations in mapping their existing efforts. </w:t>
            </w:r>
          </w:p>
          <w:p w:rsidR="006D3F43" w:rsidRDefault="006D3F43" w:rsidP="000A3A47">
            <w:pPr>
              <w:pStyle w:val="Linebreak11pt"/>
            </w:pPr>
          </w:p>
          <w:p w:rsidR="002A622A" w:rsidRDefault="002A622A" w:rsidP="000A3A47">
            <w:pPr>
              <w:pStyle w:val="Linebreak11pt"/>
            </w:pPr>
            <w:r w:rsidRPr="002A622A">
              <w:t>For those undergoing 'significant change', please get in touch with OVIC early, to discuss your requirements.</w:t>
            </w:r>
          </w:p>
          <w:p w:rsidR="006D3F43" w:rsidRPr="002A622A" w:rsidRDefault="006D3F43" w:rsidP="000A3A47">
            <w:pPr>
              <w:pStyle w:val="Linebreak11pt"/>
            </w:pPr>
          </w:p>
        </w:tc>
      </w:tr>
      <w:tr w:rsidR="002A622A" w:rsidRPr="00B37C5F" w:rsidTr="002E1E57">
        <w:tc>
          <w:tcPr>
            <w:tcW w:w="3843" w:type="dxa"/>
            <w:shd w:val="clear" w:color="auto" w:fill="F2F2F2"/>
          </w:tcPr>
          <w:p w:rsidR="002A622A" w:rsidRPr="002A622A" w:rsidRDefault="002A622A" w:rsidP="002A622A">
            <w:pPr>
              <w:pStyle w:val="TableBody"/>
              <w:rPr>
                <w:bCs w:val="0"/>
              </w:rPr>
            </w:pPr>
            <w:r w:rsidRPr="002A622A">
              <w:rPr>
                <w:bCs w:val="0"/>
              </w:rPr>
              <w:t xml:space="preserve">How long </w:t>
            </w:r>
            <w:r w:rsidR="006D3F43">
              <w:rPr>
                <w:bCs w:val="0"/>
              </w:rPr>
              <w:t>should</w:t>
            </w:r>
            <w:r w:rsidRPr="002A622A">
              <w:rPr>
                <w:bCs w:val="0"/>
              </w:rPr>
              <w:t xml:space="preserve"> it take to get a response for a direction on '</w:t>
            </w:r>
            <w:r w:rsidR="00D85D70" w:rsidRPr="002A622A">
              <w:rPr>
                <w:bCs w:val="0"/>
              </w:rPr>
              <w:t>significant</w:t>
            </w:r>
            <w:r w:rsidRPr="002A622A">
              <w:rPr>
                <w:bCs w:val="0"/>
              </w:rPr>
              <w:t xml:space="preserve"> change'?</w:t>
            </w:r>
          </w:p>
        </w:tc>
        <w:tc>
          <w:tcPr>
            <w:tcW w:w="5791" w:type="dxa"/>
            <w:shd w:val="clear" w:color="auto" w:fill="F2F2F2"/>
          </w:tcPr>
          <w:p w:rsidR="006D3F43" w:rsidRDefault="002A622A" w:rsidP="000A3A47">
            <w:pPr>
              <w:pStyle w:val="Linebreak11pt"/>
            </w:pPr>
            <w:r w:rsidRPr="002A622A">
              <w:t xml:space="preserve">Each notification of 'significant change' must be considered on a case by case basis. Some changes may be due to Machinery of Government's (MoGs), whereas others may be due to changes to the threat </w:t>
            </w:r>
            <w:r w:rsidR="00D85D70" w:rsidRPr="002A622A">
              <w:t>environment</w:t>
            </w:r>
            <w:r w:rsidRPr="002A622A">
              <w:t>.</w:t>
            </w:r>
          </w:p>
          <w:p w:rsidR="006D3F43" w:rsidRDefault="006D3F43" w:rsidP="000A3A47">
            <w:pPr>
              <w:pStyle w:val="Linebreak11pt"/>
            </w:pPr>
          </w:p>
          <w:p w:rsidR="002A622A" w:rsidRPr="002A622A" w:rsidRDefault="002A622A" w:rsidP="000A3A47">
            <w:pPr>
              <w:pStyle w:val="Linebreak11pt"/>
            </w:pPr>
            <w:r w:rsidRPr="002A622A">
              <w:t xml:space="preserve">For this particular matter, the Information Security Unit </w:t>
            </w:r>
            <w:r w:rsidR="00D85D70" w:rsidRPr="002A622A">
              <w:t>has been</w:t>
            </w:r>
            <w:r w:rsidRPr="002A622A">
              <w:t xml:space="preserve"> working with MFB to find out more. Given the complexity of the issues involved in this particular </w:t>
            </w:r>
            <w:proofErr w:type="spellStart"/>
            <w:r w:rsidRPr="002A622A">
              <w:t>MoG</w:t>
            </w:r>
            <w:proofErr w:type="spellEnd"/>
            <w:r w:rsidRPr="002A622A">
              <w:t xml:space="preserve">, the advice </w:t>
            </w:r>
            <w:r w:rsidR="00D85D70" w:rsidRPr="002A622A">
              <w:t>involved,</w:t>
            </w:r>
            <w:r w:rsidRPr="002A622A">
              <w:t xml:space="preserve"> and the subsequent actions do require some thought and effort to work through. Our Business Engagement Officers (</w:t>
            </w:r>
            <w:r w:rsidR="006D3F43" w:rsidRPr="002A622A">
              <w:t>BEOs) will</w:t>
            </w:r>
            <w:r w:rsidRPr="002A622A">
              <w:t xml:space="preserve"> continue with work with MFB.</w:t>
            </w:r>
          </w:p>
        </w:tc>
      </w:tr>
    </w:tbl>
    <w:p w:rsidR="00765158" w:rsidRDefault="00765158" w:rsidP="00765158">
      <w:pPr>
        <w:pStyle w:val="BasicParagraph"/>
        <w:spacing w:after="170"/>
        <w:rPr>
          <w:rFonts w:ascii="PostGrotesk-Medium" w:hAnsi="PostGrotesk-Medium" w:cs="PostGrotesk-Medium"/>
          <w:color w:val="E5007D"/>
        </w:rPr>
        <w:sectPr w:rsidR="00765158" w:rsidSect="00E74731">
          <w:type w:val="continuous"/>
          <w:pgSz w:w="11900" w:h="16840"/>
          <w:pgMar w:top="1134" w:right="1134" w:bottom="1134" w:left="1134" w:header="1134" w:footer="1056" w:gutter="0"/>
          <w:cols w:space="720"/>
          <w:titlePg/>
          <w:docGrid w:linePitch="360"/>
        </w:sectPr>
      </w:pPr>
    </w:p>
    <w:p w:rsidR="00F36C34" w:rsidRPr="0086734F" w:rsidRDefault="00F36C34" w:rsidP="00EF06C1">
      <w:pPr>
        <w:pStyle w:val="FurtherInfo"/>
        <w:outlineLvl w:val="0"/>
      </w:pPr>
      <w:r w:rsidRPr="0086734F">
        <w:t>Further Infor</w:t>
      </w:r>
      <w:r w:rsidRPr="00372C3E">
        <w:t>mat</w:t>
      </w:r>
      <w:r w:rsidRPr="0086734F">
        <w:t>ion</w:t>
      </w:r>
    </w:p>
    <w:p w:rsidR="00765158" w:rsidRDefault="00765158" w:rsidP="00863040">
      <w:pPr>
        <w:pStyle w:val="BasicParagraph"/>
        <w:pBdr>
          <w:top w:val="single" w:sz="4" w:space="6" w:color="430098"/>
        </w:pBdr>
        <w:spacing w:after="170"/>
        <w:rPr>
          <w:rFonts w:ascii="PostGrotesk-Medium" w:hAnsi="PostGrotesk-Medium" w:cs="PostGrotesk-Medium"/>
          <w:color w:val="00A5B5"/>
        </w:rPr>
        <w:sectPr w:rsidR="00765158" w:rsidSect="00E74731">
          <w:type w:val="continuous"/>
          <w:pgSz w:w="11900" w:h="16840"/>
          <w:pgMar w:top="1134" w:right="1134" w:bottom="1134" w:left="1134" w:header="1134" w:footer="1056" w:gutter="0"/>
          <w:cols w:space="720"/>
          <w:titlePg/>
          <w:docGrid w:linePitch="360"/>
        </w:sectPr>
      </w:pPr>
    </w:p>
    <w:p w:rsidR="00780584" w:rsidRPr="00780584" w:rsidRDefault="00780584" w:rsidP="00780584">
      <w:pPr>
        <w:widowControl w:val="0"/>
        <w:suppressAutoHyphens/>
        <w:autoSpaceDE w:val="0"/>
        <w:autoSpaceDN w:val="0"/>
        <w:adjustRightInd w:val="0"/>
        <w:spacing w:after="120" w:line="288" w:lineRule="auto"/>
        <w:textAlignment w:val="center"/>
        <w:outlineLvl w:val="0"/>
        <w:rPr>
          <w:rFonts w:cs="PostGrotesk-Medium"/>
          <w:b/>
          <w:color w:val="55565A"/>
        </w:rPr>
      </w:pPr>
      <w:r w:rsidRPr="00780584">
        <w:rPr>
          <w:rFonts w:cs="PostGrotesk-Medium"/>
          <w:b/>
          <w:color w:val="55565A"/>
        </w:rPr>
        <w:t>Contact Us</w:t>
      </w:r>
    </w:p>
    <w:p w:rsidR="00780584" w:rsidRPr="00780584" w:rsidRDefault="00780584" w:rsidP="00780584">
      <w:pPr>
        <w:widowControl w:val="0"/>
        <w:tabs>
          <w:tab w:val="left" w:pos="284"/>
          <w:tab w:val="left" w:pos="709"/>
        </w:tabs>
        <w:suppressAutoHyphens/>
        <w:autoSpaceDE w:val="0"/>
        <w:autoSpaceDN w:val="0"/>
        <w:adjustRightInd w:val="0"/>
        <w:spacing w:after="240"/>
        <w:textAlignment w:val="center"/>
        <w:rPr>
          <w:rFonts w:cs="PostGrotesk-Book"/>
          <w:color w:val="55565A"/>
          <w:sz w:val="22"/>
          <w:szCs w:val="22"/>
        </w:rPr>
      </w:pPr>
      <w:r w:rsidRPr="00780584">
        <w:rPr>
          <w:rFonts w:cs="PostGrotesk-Book"/>
          <w:b/>
          <w:color w:val="430098"/>
          <w:sz w:val="22"/>
          <w:szCs w:val="22"/>
        </w:rPr>
        <w:t>t:</w:t>
      </w:r>
      <w:r w:rsidRPr="00780584">
        <w:rPr>
          <w:rFonts w:cs="PostGrotesk-Book"/>
          <w:color w:val="55565A"/>
          <w:sz w:val="22"/>
          <w:szCs w:val="22"/>
        </w:rPr>
        <w:tab/>
        <w:t xml:space="preserve">1300 00 6842 </w:t>
      </w:r>
      <w:r w:rsidRPr="00780584">
        <w:rPr>
          <w:rFonts w:cs="PostGrotesk-Book"/>
          <w:color w:val="55565A"/>
          <w:sz w:val="22"/>
          <w:szCs w:val="22"/>
        </w:rPr>
        <w:br/>
      </w:r>
      <w:r w:rsidRPr="00780584">
        <w:rPr>
          <w:rFonts w:cs="PostGrotesk-Book"/>
          <w:b/>
          <w:color w:val="430098"/>
          <w:sz w:val="22"/>
          <w:szCs w:val="22"/>
        </w:rPr>
        <w:t>e:</w:t>
      </w:r>
      <w:r w:rsidRPr="00780584">
        <w:rPr>
          <w:rFonts w:cs="PostGrotesk-Book"/>
          <w:color w:val="55565A"/>
          <w:sz w:val="22"/>
          <w:szCs w:val="22"/>
        </w:rPr>
        <w:tab/>
        <w:t>enquiries@ovic.vic.gov.au</w:t>
      </w:r>
      <w:r w:rsidRPr="00780584">
        <w:rPr>
          <w:rFonts w:cs="PostGrotesk-Book"/>
          <w:color w:val="55565A"/>
          <w:sz w:val="22"/>
          <w:szCs w:val="22"/>
        </w:rPr>
        <w:br/>
      </w:r>
      <w:r w:rsidRPr="00780584">
        <w:rPr>
          <w:rFonts w:cs="PostGrotesk-Book"/>
          <w:b/>
          <w:color w:val="430098"/>
          <w:sz w:val="22"/>
          <w:szCs w:val="22"/>
        </w:rPr>
        <w:t>w:</w:t>
      </w:r>
      <w:r w:rsidRPr="00780584">
        <w:rPr>
          <w:rFonts w:cs="PostGrotesk-Book"/>
          <w:color w:val="55565A"/>
          <w:sz w:val="22"/>
          <w:szCs w:val="22"/>
        </w:rPr>
        <w:tab/>
        <w:t>ovic.vic.gov.au</w:t>
      </w:r>
      <w:r>
        <w:rPr>
          <w:rFonts w:cs="PostGrotesk-Book"/>
          <w:color w:val="55565A"/>
          <w:sz w:val="22"/>
          <w:szCs w:val="22"/>
        </w:rPr>
        <w:br w:type="column"/>
      </w:r>
      <w:r w:rsidRPr="00780584">
        <w:rPr>
          <w:rFonts w:cs="PostGrotesk-Medium"/>
          <w:b/>
          <w:color w:val="55565A"/>
        </w:rPr>
        <w:t xml:space="preserve">Disclaimer </w:t>
      </w:r>
    </w:p>
    <w:p w:rsidR="00BD07DC" w:rsidRPr="00212F1B" w:rsidRDefault="00780584" w:rsidP="00212F1B">
      <w:pPr>
        <w:widowControl w:val="0"/>
        <w:suppressAutoHyphens/>
        <w:autoSpaceDE w:val="0"/>
        <w:autoSpaceDN w:val="0"/>
        <w:adjustRightInd w:val="0"/>
        <w:textAlignment w:val="center"/>
        <w:rPr>
          <w:rFonts w:cs="PostGrotesk-Book"/>
          <w:color w:val="55565A"/>
          <w:sz w:val="18"/>
          <w:szCs w:val="22"/>
        </w:rPr>
        <w:sectPr w:rsidR="00BD07DC" w:rsidRPr="00212F1B" w:rsidSect="00E74731">
          <w:type w:val="continuous"/>
          <w:pgSz w:w="11900" w:h="16840"/>
          <w:pgMar w:top="1134" w:right="1134" w:bottom="1134" w:left="1134" w:header="1134" w:footer="1056" w:gutter="0"/>
          <w:cols w:num="2" w:space="720"/>
          <w:titlePg/>
          <w:docGrid w:linePitch="360"/>
        </w:sectPr>
      </w:pPr>
      <w:r w:rsidRPr="00780584">
        <w:rPr>
          <w:rFonts w:cs="PostGrotesk-Book"/>
          <w:color w:val="55565A"/>
          <w:sz w:val="16"/>
          <w:szCs w:val="22"/>
        </w:rPr>
        <w:t xml:space="preserve">This fact sheet does not constitute legal advice and should not be used as a substitute for applying the provisions of the Freedom of Information Act 1982, </w:t>
      </w:r>
      <w:r w:rsidR="00212F1B">
        <w:rPr>
          <w:rFonts w:cs="PostGrotesk-Book"/>
          <w:color w:val="55565A"/>
          <w:sz w:val="16"/>
          <w:szCs w:val="22"/>
        </w:rPr>
        <w:t xml:space="preserve">or Privacy and Data Protection Act 2014 </w:t>
      </w:r>
      <w:r w:rsidRPr="00780584">
        <w:rPr>
          <w:rFonts w:cs="PostGrotesk-Book"/>
          <w:color w:val="55565A"/>
          <w:sz w:val="16"/>
          <w:szCs w:val="22"/>
        </w:rPr>
        <w:t>or any other legal requirement, to individual cases</w:t>
      </w:r>
      <w:r w:rsidR="00212F1B">
        <w:rPr>
          <w:rFonts w:cs="PostGrotesk-Book"/>
          <w:color w:val="55565A"/>
          <w:sz w:val="18"/>
          <w:szCs w:val="22"/>
        </w:rPr>
        <w:t xml:space="preserve">. </w:t>
      </w:r>
    </w:p>
    <w:p w:rsidR="00F36C34" w:rsidRPr="00F36C34" w:rsidRDefault="00F36C34" w:rsidP="00F36C34">
      <w:pPr>
        <w:ind w:right="-7"/>
        <w:rPr>
          <w:lang w:val="en-US"/>
        </w:rPr>
      </w:pPr>
    </w:p>
    <w:sectPr w:rsidR="00F36C34" w:rsidRPr="00F36C34" w:rsidSect="00E74731">
      <w:headerReference w:type="first" r:id="rId33"/>
      <w:footerReference w:type="first" r:id="rId34"/>
      <w:type w:val="continuous"/>
      <w:pgSz w:w="11900" w:h="16840"/>
      <w:pgMar w:top="1134" w:right="1134" w:bottom="1134" w:left="1134" w:header="1134" w:footer="1056"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EC9" w:rsidRDefault="00AB4EC9" w:rsidP="00B53C78">
      <w:r>
        <w:separator/>
      </w:r>
    </w:p>
  </w:endnote>
  <w:endnote w:type="continuationSeparator" w:id="0">
    <w:p w:rsidR="00AB4EC9" w:rsidRDefault="00AB4EC9" w:rsidP="00B5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MinionPro-Regular">
    <w:altName w:val="Times New Roman"/>
    <w:panose1 w:val="020B0604020202020204"/>
    <w:charset w:val="00"/>
    <w:family w:val="auto"/>
    <w:pitch w:val="variable"/>
    <w:sig w:usb0="00000001" w:usb1="00000001" w:usb2="00000000" w:usb3="00000000" w:csb0="0000019F" w:csb1="00000000"/>
  </w:font>
  <w:font w:name="PostGrotesk-Book">
    <w:altName w:val="Times New Roman"/>
    <w:panose1 w:val="020B0604020202020204"/>
    <w:charset w:val="00"/>
    <w:family w:val="auto"/>
    <w:pitch w:val="variable"/>
    <w:sig w:usb0="00000001" w:usb1="500160FB" w:usb2="00000000" w:usb3="00000000" w:csb0="0000009B" w:csb1="00000000"/>
  </w:font>
  <w:font w:name="PostGrotesk-Medium">
    <w:altName w:val="Times New Roman"/>
    <w:panose1 w:val="020B0604020202020204"/>
    <w:charset w:val="00"/>
    <w:family w:val="auto"/>
    <w:pitch w:val="variable"/>
    <w:sig w:usb0="00000001" w:usb1="5001607B" w:usb2="000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992" w:rsidRDefault="00F402B9" w:rsidP="00780584">
    <w:pPr>
      <w:pStyle w:val="Footer"/>
      <w:spacing w:before="120"/>
      <w:jc w:val="right"/>
    </w:pPr>
    <w:r w:rsidRPr="00F402B9">
      <w:rPr>
        <w:rFonts w:cs="Arial"/>
        <w:sz w:val="22"/>
      </w:rPr>
      <w:t xml:space="preserve">Freedom of Information </w:t>
    </w:r>
    <w:r w:rsidRPr="00F402B9">
      <w:rPr>
        <w:rFonts w:cs="Arial"/>
        <w:color w:val="E5007D"/>
        <w:sz w:val="22"/>
      </w:rPr>
      <w:t>|</w:t>
    </w:r>
    <w:r w:rsidRPr="00F402B9">
      <w:rPr>
        <w:rFonts w:cs="Arial"/>
        <w:sz w:val="22"/>
      </w:rPr>
      <w:t xml:space="preserve"> Privacy </w:t>
    </w:r>
    <w:r w:rsidRPr="00F402B9">
      <w:rPr>
        <w:rFonts w:cs="Arial"/>
        <w:color w:val="E5007D"/>
        <w:sz w:val="22"/>
      </w:rPr>
      <w:t>|</w:t>
    </w:r>
    <w:r w:rsidRPr="00F402B9">
      <w:rPr>
        <w:rFonts w:cs="Arial"/>
        <w:sz w:val="22"/>
      </w:rPr>
      <w:t xml:space="preserve"> Data Protection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458" w:rsidRPr="00780584" w:rsidRDefault="00F402B9" w:rsidP="00780584">
    <w:pPr>
      <w:pStyle w:val="Footer"/>
      <w:spacing w:before="120"/>
      <w:jc w:val="right"/>
      <w:rPr>
        <w:sz w:val="22"/>
      </w:rPr>
    </w:pPr>
    <w:r w:rsidRPr="00780584">
      <w:rPr>
        <w:rFonts w:cs="Arial"/>
        <w:sz w:val="20"/>
      </w:rPr>
      <w:t xml:space="preserve">Freedom of Information </w:t>
    </w:r>
    <w:r w:rsidRPr="00780584">
      <w:rPr>
        <w:rFonts w:cs="Arial"/>
        <w:color w:val="E5007D"/>
        <w:sz w:val="20"/>
      </w:rPr>
      <w:t>|</w:t>
    </w:r>
    <w:r w:rsidRPr="00780584">
      <w:rPr>
        <w:rFonts w:cs="Arial"/>
        <w:sz w:val="20"/>
      </w:rPr>
      <w:t xml:space="preserve"> Privacy </w:t>
    </w:r>
    <w:r w:rsidRPr="00780584">
      <w:rPr>
        <w:rFonts w:cs="Arial"/>
        <w:color w:val="E5007D"/>
        <w:sz w:val="20"/>
      </w:rPr>
      <w:t>|</w:t>
    </w:r>
    <w:r w:rsidRPr="00780584">
      <w:rPr>
        <w:rFonts w:cs="Arial"/>
        <w:sz w:val="20"/>
      </w:rPr>
      <w:t xml:space="preserve"> Data Protection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7DC" w:rsidRPr="00662FFB" w:rsidRDefault="00BD07DC" w:rsidP="00662FFB">
    <w:pPr>
      <w:pStyle w:val="Footer"/>
      <w:spacing w:before="240"/>
      <w:jc w:val="right"/>
      <w:rPr>
        <w:sz w:val="20"/>
      </w:rPr>
    </w:pPr>
    <w:r w:rsidRPr="00662FFB">
      <w:rPr>
        <w:sz w:val="20"/>
      </w:rPr>
      <w:t xml:space="preserve">Freedom of Information </w:t>
    </w:r>
    <w:r w:rsidRPr="00662FFB">
      <w:rPr>
        <w:color w:val="E5007D"/>
        <w:sz w:val="20"/>
      </w:rPr>
      <w:t>|</w:t>
    </w:r>
    <w:r w:rsidRPr="00662FFB">
      <w:rPr>
        <w:sz w:val="20"/>
      </w:rPr>
      <w:t xml:space="preserve"> Privacy </w:t>
    </w:r>
    <w:r w:rsidRPr="00662FFB">
      <w:rPr>
        <w:color w:val="E5007D"/>
        <w:sz w:val="20"/>
      </w:rPr>
      <w:t>|</w:t>
    </w:r>
    <w:r w:rsidRPr="00662FFB">
      <w:rPr>
        <w:sz w:val="20"/>
      </w:rPr>
      <w:t xml:space="preserve"> Data Protection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EC9" w:rsidRDefault="00AB4EC9" w:rsidP="00B53C78">
      <w:r>
        <w:separator/>
      </w:r>
    </w:p>
  </w:footnote>
  <w:footnote w:type="continuationSeparator" w:id="0">
    <w:p w:rsidR="00AB4EC9" w:rsidRDefault="00AB4EC9" w:rsidP="00B53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C78" w:rsidRPr="00EF06C1" w:rsidRDefault="00E74731" w:rsidP="000F3A12">
    <w:pPr>
      <w:pStyle w:val="Header"/>
      <w:tabs>
        <w:tab w:val="clear" w:pos="4513"/>
        <w:tab w:val="clear" w:pos="9026"/>
        <w:tab w:val="left" w:pos="6946"/>
      </w:tabs>
      <w:spacing w:after="180"/>
      <w:rPr>
        <w:color w:val="7F7F7F"/>
        <w:sz w:val="26"/>
        <w:szCs w:val="26"/>
      </w:rPr>
    </w:pPr>
    <w:r>
      <w:rPr>
        <w:noProof/>
        <w:color w:val="7F7F7F"/>
        <w:sz w:val="28"/>
        <w:szCs w:val="28"/>
        <w:lang w:eastAsia="en-GB"/>
      </w:rPr>
      <w:drawing>
        <wp:anchor distT="0" distB="0" distL="114300" distR="114300" simplePos="0" relativeHeight="251658240" behindDoc="1" locked="0" layoutInCell="1" allowOverlap="1" wp14:anchorId="7624641F" wp14:editId="6D21E3E2">
          <wp:simplePos x="0" y="0"/>
          <wp:positionH relativeFrom="column">
            <wp:posOffset>6350</wp:posOffset>
          </wp:positionH>
          <wp:positionV relativeFrom="paragraph">
            <wp:posOffset>-47625</wp:posOffset>
          </wp:positionV>
          <wp:extent cx="1565910" cy="720090"/>
          <wp:effectExtent l="0" t="0" r="0" b="0"/>
          <wp:wrapThrough wrapText="bothSides">
            <wp:wrapPolygon edited="0">
              <wp:start x="0" y="0"/>
              <wp:lineTo x="0" y="20571"/>
              <wp:lineTo x="21372" y="20571"/>
              <wp:lineTo x="21372" y="0"/>
              <wp:lineTo x="0" y="0"/>
            </wp:wrapPolygon>
          </wp:wrapThrough>
          <wp:docPr id="6" name="Picture 6" descr="2056_OVIC_Logo_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56_OVIC_Logo_v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C78" w:rsidRPr="00B37C5F">
      <w:rPr>
        <w:color w:val="7F7F7F"/>
        <w:sz w:val="28"/>
        <w:szCs w:val="28"/>
      </w:rPr>
      <w:tab/>
    </w:r>
    <w:r w:rsidR="00B53C78" w:rsidRPr="00EF06C1">
      <w:rPr>
        <w:color w:val="555559"/>
        <w:sz w:val="26"/>
        <w:szCs w:val="26"/>
      </w:rPr>
      <w:t>INFORMATION FOR</w:t>
    </w:r>
    <w:r w:rsidR="00B53C78" w:rsidRPr="00EF06C1">
      <w:rPr>
        <w:color w:val="7F7F7F"/>
        <w:sz w:val="26"/>
        <w:szCs w:val="26"/>
      </w:rPr>
      <w:br/>
    </w:r>
    <w:r w:rsidR="00B53C78" w:rsidRPr="00EF06C1">
      <w:rPr>
        <w:color w:val="7F7F7F"/>
        <w:sz w:val="26"/>
        <w:szCs w:val="26"/>
      </w:rPr>
      <w:tab/>
    </w:r>
    <w:r w:rsidR="00635E9F" w:rsidRPr="00EF06C1">
      <w:rPr>
        <w:color w:val="430098"/>
        <w:sz w:val="26"/>
        <w:szCs w:val="26"/>
      </w:rPr>
      <w:t>AGENCIES</w:t>
    </w:r>
  </w:p>
  <w:p w:rsidR="00B53C78" w:rsidRPr="00B37C5F" w:rsidRDefault="00B53C78" w:rsidP="00E45B00">
    <w:pPr>
      <w:pStyle w:val="Header"/>
      <w:tabs>
        <w:tab w:val="clear" w:pos="4513"/>
        <w:tab w:val="left" w:pos="6946"/>
      </w:tabs>
      <w:rPr>
        <w:color w:val="7F7F7F"/>
        <w:sz w:val="20"/>
        <w:szCs w:val="20"/>
      </w:rPr>
    </w:pPr>
    <w:r w:rsidRPr="00B37C5F">
      <w:rPr>
        <w:color w:val="7F7F7F"/>
        <w:sz w:val="20"/>
        <w:szCs w:val="20"/>
      </w:rPr>
      <w:tab/>
    </w:r>
    <w:r w:rsidRPr="00B37C5F">
      <w:rPr>
        <w:color w:val="7F7F7F"/>
        <w:sz w:val="20"/>
        <w:szCs w:val="20"/>
      </w:rPr>
      <w:tab/>
    </w:r>
    <w:r w:rsidRPr="00064688">
      <w:rPr>
        <w:color w:val="555559"/>
        <w:sz w:val="20"/>
        <w:szCs w:val="20"/>
      </w:rPr>
      <w:t>1300 00 6842 |</w:t>
    </w:r>
    <w:r w:rsidR="00B177DA" w:rsidRPr="00064688">
      <w:rPr>
        <w:color w:val="555559"/>
        <w:sz w:val="20"/>
        <w:szCs w:val="20"/>
      </w:rPr>
      <w:t xml:space="preserve"> </w:t>
    </w:r>
    <w:r w:rsidRPr="00064688">
      <w:rPr>
        <w:color w:val="555559"/>
        <w:sz w:val="20"/>
        <w:szCs w:val="20"/>
      </w:rPr>
      <w:t>ovic.</w:t>
    </w:r>
    <w:r w:rsidR="00305D40">
      <w:rPr>
        <w:color w:val="555559"/>
        <w:sz w:val="20"/>
        <w:szCs w:val="20"/>
      </w:rPr>
      <w:t>vic.</w:t>
    </w:r>
    <w:r w:rsidR="000F3A12">
      <w:rPr>
        <w:color w:val="555559"/>
        <w:sz w:val="20"/>
        <w:szCs w:val="20"/>
      </w:rPr>
      <w:t>gov</w:t>
    </w:r>
    <w:r w:rsidRPr="00064688">
      <w:rPr>
        <w:color w:val="555559"/>
        <w:sz w:val="20"/>
        <w:szCs w:val="20"/>
      </w:rPr>
      <w:t>.au</w:t>
    </w:r>
  </w:p>
  <w:p w:rsidR="00B53C78" w:rsidRPr="00B37C5F" w:rsidRDefault="00E74731" w:rsidP="00F36C34">
    <w:pPr>
      <w:pStyle w:val="Header"/>
      <w:tabs>
        <w:tab w:val="left" w:pos="6946"/>
      </w:tabs>
      <w:spacing w:before="120"/>
      <w:rPr>
        <w:color w:val="7F7F7F"/>
        <w:sz w:val="20"/>
        <w:szCs w:val="20"/>
      </w:rPr>
    </w:pPr>
    <w:r>
      <w:rPr>
        <w:noProof/>
        <w:lang w:eastAsia="en-GB"/>
      </w:rPr>
      <w:drawing>
        <wp:anchor distT="0" distB="0" distL="114300" distR="114300" simplePos="0" relativeHeight="251657216" behindDoc="0" locked="0" layoutInCell="1" allowOverlap="1" wp14:anchorId="48304139" wp14:editId="7E4305BD">
          <wp:simplePos x="0" y="0"/>
          <wp:positionH relativeFrom="column">
            <wp:posOffset>-20955</wp:posOffset>
          </wp:positionH>
          <wp:positionV relativeFrom="paragraph">
            <wp:posOffset>172085</wp:posOffset>
          </wp:positionV>
          <wp:extent cx="6119495" cy="70485"/>
          <wp:effectExtent l="0" t="0" r="0" b="0"/>
          <wp:wrapNone/>
          <wp:docPr id="5" name="Picture 5" descr="gradient%20line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dient%20line_th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7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3C78" w:rsidRPr="00F87792" w:rsidRDefault="000A3A47" w:rsidP="00780584">
    <w:pPr>
      <w:pStyle w:val="DocumentTitle"/>
      <w:tabs>
        <w:tab w:val="clear" w:pos="4513"/>
      </w:tabs>
      <w:spacing w:before="360"/>
      <w:rPr>
        <w:sz w:val="36"/>
        <w:szCs w:val="36"/>
      </w:rPr>
    </w:pPr>
    <w:r>
      <w:rPr>
        <w:sz w:val="36"/>
        <w:szCs w:val="36"/>
      </w:rPr>
      <w:t>Victorian Information Security Network (VISN) Forum</w:t>
    </w:r>
  </w:p>
  <w:p w:rsidR="00B53C78" w:rsidRPr="00F87792" w:rsidRDefault="000A3A47" w:rsidP="00E45B00">
    <w:pPr>
      <w:pStyle w:val="Header"/>
      <w:tabs>
        <w:tab w:val="left" w:pos="6946"/>
      </w:tabs>
      <w:spacing w:after="240"/>
      <w:rPr>
        <w:rFonts w:ascii="Arial" w:hAnsi="Arial" w:cs="Arial"/>
        <w:color w:val="555559"/>
        <w:sz w:val="30"/>
        <w:szCs w:val="30"/>
      </w:rPr>
    </w:pPr>
    <w:r>
      <w:rPr>
        <w:rFonts w:ascii="Arial" w:hAnsi="Arial" w:cs="Arial"/>
        <w:color w:val="555559"/>
        <w:sz w:val="30"/>
        <w:szCs w:val="30"/>
      </w:rPr>
      <w:t>Questions and Answers</w:t>
    </w:r>
    <w:r w:rsidR="001C4898">
      <w:rPr>
        <w:rFonts w:ascii="Arial" w:hAnsi="Arial" w:cs="Arial"/>
        <w:color w:val="555559"/>
        <w:sz w:val="30"/>
        <w:szCs w:val="30"/>
      </w:rPr>
      <w:t xml:space="preserve"> – November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7DC" w:rsidRPr="00B37C5F" w:rsidRDefault="00BD07DC" w:rsidP="00BD07DC">
    <w:pPr>
      <w:pStyle w:val="Header"/>
      <w:tabs>
        <w:tab w:val="clear" w:pos="4513"/>
        <w:tab w:val="clear" w:pos="9026"/>
        <w:tab w:val="left" w:pos="6946"/>
      </w:tabs>
      <w:spacing w:after="180"/>
      <w:rPr>
        <w:color w:val="7F7F7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73973"/>
    <w:multiLevelType w:val="hybridMultilevel"/>
    <w:tmpl w:val="5C4A1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60ABB"/>
    <w:multiLevelType w:val="hybridMultilevel"/>
    <w:tmpl w:val="9C10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99252C"/>
    <w:multiLevelType w:val="hybridMultilevel"/>
    <w:tmpl w:val="6F72C12C"/>
    <w:lvl w:ilvl="0" w:tplc="447252F0">
      <w:start w:val="1"/>
      <w:numFmt w:val="bullet"/>
      <w:pStyle w:val="ColourfulListAccent11"/>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F4544"/>
    <w:multiLevelType w:val="hybridMultilevel"/>
    <w:tmpl w:val="201A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47"/>
    <w:rsid w:val="00064688"/>
    <w:rsid w:val="00077961"/>
    <w:rsid w:val="00091CB4"/>
    <w:rsid w:val="000A33F4"/>
    <w:rsid w:val="000A3A47"/>
    <w:rsid w:val="000E7FAE"/>
    <w:rsid w:val="000F3A12"/>
    <w:rsid w:val="001159CB"/>
    <w:rsid w:val="00164A42"/>
    <w:rsid w:val="001C4898"/>
    <w:rsid w:val="001D24F9"/>
    <w:rsid w:val="001E1132"/>
    <w:rsid w:val="00212F1B"/>
    <w:rsid w:val="0025217E"/>
    <w:rsid w:val="002658E9"/>
    <w:rsid w:val="002A48A0"/>
    <w:rsid w:val="002A622A"/>
    <w:rsid w:val="002E1E57"/>
    <w:rsid w:val="00305D40"/>
    <w:rsid w:val="00322784"/>
    <w:rsid w:val="00326E58"/>
    <w:rsid w:val="00370F3D"/>
    <w:rsid w:val="00372C3E"/>
    <w:rsid w:val="00377068"/>
    <w:rsid w:val="00384F15"/>
    <w:rsid w:val="003A7085"/>
    <w:rsid w:val="003C6D10"/>
    <w:rsid w:val="00502CD1"/>
    <w:rsid w:val="00531832"/>
    <w:rsid w:val="00555602"/>
    <w:rsid w:val="005870C5"/>
    <w:rsid w:val="00635E9F"/>
    <w:rsid w:val="006504B1"/>
    <w:rsid w:val="00662FFB"/>
    <w:rsid w:val="006713D1"/>
    <w:rsid w:val="006B1C0F"/>
    <w:rsid w:val="006D3F43"/>
    <w:rsid w:val="00723ACA"/>
    <w:rsid w:val="00760DDC"/>
    <w:rsid w:val="00765158"/>
    <w:rsid w:val="00780584"/>
    <w:rsid w:val="007A6964"/>
    <w:rsid w:val="00863040"/>
    <w:rsid w:val="0086734F"/>
    <w:rsid w:val="008B4992"/>
    <w:rsid w:val="008B7923"/>
    <w:rsid w:val="008F106C"/>
    <w:rsid w:val="00940F43"/>
    <w:rsid w:val="009C2111"/>
    <w:rsid w:val="00A320DC"/>
    <w:rsid w:val="00A33D6F"/>
    <w:rsid w:val="00A50D04"/>
    <w:rsid w:val="00AB4EC9"/>
    <w:rsid w:val="00AE13A1"/>
    <w:rsid w:val="00B177DA"/>
    <w:rsid w:val="00B37C5F"/>
    <w:rsid w:val="00B53C78"/>
    <w:rsid w:val="00BD07DC"/>
    <w:rsid w:val="00C43D77"/>
    <w:rsid w:val="00C473B0"/>
    <w:rsid w:val="00CE7458"/>
    <w:rsid w:val="00D01EAD"/>
    <w:rsid w:val="00D267EC"/>
    <w:rsid w:val="00D32D00"/>
    <w:rsid w:val="00D723C1"/>
    <w:rsid w:val="00D85D70"/>
    <w:rsid w:val="00DA234D"/>
    <w:rsid w:val="00DB13A1"/>
    <w:rsid w:val="00DB55DB"/>
    <w:rsid w:val="00E45B00"/>
    <w:rsid w:val="00E74731"/>
    <w:rsid w:val="00EA17AE"/>
    <w:rsid w:val="00EF06C1"/>
    <w:rsid w:val="00EF65B2"/>
    <w:rsid w:val="00F17578"/>
    <w:rsid w:val="00F3592F"/>
    <w:rsid w:val="00F36C34"/>
    <w:rsid w:val="00F402B9"/>
    <w:rsid w:val="00F83814"/>
    <w:rsid w:val="00F8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1F285"/>
  <w14:defaultImageDpi w14:val="32767"/>
  <w15:chartTrackingRefBased/>
  <w15:docId w15:val="{07EAF576-1F5C-414F-9F1C-A46B23883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C78"/>
    <w:pPr>
      <w:tabs>
        <w:tab w:val="center" w:pos="4513"/>
        <w:tab w:val="right" w:pos="9026"/>
      </w:tabs>
    </w:pPr>
  </w:style>
  <w:style w:type="character" w:customStyle="1" w:styleId="HeaderChar">
    <w:name w:val="Header Char"/>
    <w:basedOn w:val="DefaultParagraphFont"/>
    <w:link w:val="Header"/>
    <w:uiPriority w:val="99"/>
    <w:rsid w:val="00B53C78"/>
  </w:style>
  <w:style w:type="paragraph" w:styleId="Footer">
    <w:name w:val="footer"/>
    <w:basedOn w:val="Normal"/>
    <w:link w:val="FooterChar"/>
    <w:uiPriority w:val="99"/>
    <w:unhideWhenUsed/>
    <w:rsid w:val="00BD07DC"/>
    <w:pPr>
      <w:tabs>
        <w:tab w:val="center" w:pos="4513"/>
        <w:tab w:val="right" w:pos="9026"/>
      </w:tabs>
    </w:pPr>
    <w:rPr>
      <w:color w:val="430098"/>
    </w:rPr>
  </w:style>
  <w:style w:type="character" w:customStyle="1" w:styleId="FooterChar">
    <w:name w:val="Footer Char"/>
    <w:link w:val="Footer"/>
    <w:uiPriority w:val="99"/>
    <w:rsid w:val="00BD07DC"/>
    <w:rPr>
      <w:color w:val="430098"/>
    </w:rPr>
  </w:style>
  <w:style w:type="paragraph" w:customStyle="1" w:styleId="BasicParagraph">
    <w:name w:val="[Basic Paragraph]"/>
    <w:basedOn w:val="Normal"/>
    <w:uiPriority w:val="99"/>
    <w:rsid w:val="00F36C34"/>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BasicParagraph"/>
    <w:qFormat/>
    <w:rsid w:val="008B7923"/>
    <w:pPr>
      <w:suppressAutoHyphens/>
      <w:spacing w:after="240" w:line="240" w:lineRule="auto"/>
    </w:pPr>
    <w:rPr>
      <w:rFonts w:ascii="Calibri" w:hAnsi="Calibri" w:cs="PostGrotesk-Book"/>
      <w:color w:val="55565A"/>
      <w:sz w:val="22"/>
      <w:szCs w:val="22"/>
    </w:rPr>
  </w:style>
  <w:style w:type="paragraph" w:customStyle="1" w:styleId="SectionHeading1">
    <w:name w:val="Section Heading 1"/>
    <w:basedOn w:val="BasicParagraph"/>
    <w:qFormat/>
    <w:rsid w:val="008B7923"/>
    <w:pPr>
      <w:suppressAutoHyphens/>
      <w:spacing w:after="120"/>
    </w:pPr>
    <w:rPr>
      <w:rFonts w:ascii="Calibri" w:hAnsi="Calibri" w:cs="PostGrotesk-Medium"/>
      <w:color w:val="430098"/>
      <w:sz w:val="28"/>
      <w:szCs w:val="28"/>
    </w:rPr>
  </w:style>
  <w:style w:type="paragraph" w:customStyle="1" w:styleId="SectionHeading2">
    <w:name w:val="Section Heading 2"/>
    <w:basedOn w:val="BasicParagraph"/>
    <w:qFormat/>
    <w:rsid w:val="00372C3E"/>
    <w:pPr>
      <w:suppressAutoHyphens/>
      <w:spacing w:after="120"/>
    </w:pPr>
    <w:rPr>
      <w:rFonts w:ascii="Calibri" w:hAnsi="Calibri" w:cs="PostGrotesk-Medium"/>
      <w:b/>
      <w:color w:val="55565A"/>
    </w:rPr>
  </w:style>
  <w:style w:type="paragraph" w:customStyle="1" w:styleId="ColourfulListAccent11">
    <w:name w:val="Colourful List – Accent 11"/>
    <w:basedOn w:val="Body"/>
    <w:uiPriority w:val="34"/>
    <w:qFormat/>
    <w:rsid w:val="00064688"/>
    <w:pPr>
      <w:numPr>
        <w:numId w:val="2"/>
      </w:numPr>
      <w:spacing w:after="0"/>
      <w:ind w:left="284" w:hanging="284"/>
    </w:pPr>
  </w:style>
  <w:style w:type="paragraph" w:customStyle="1" w:styleId="Introduction">
    <w:name w:val="Introduction"/>
    <w:qFormat/>
    <w:rsid w:val="00B177DA"/>
    <w:pPr>
      <w:suppressAutoHyphens/>
      <w:spacing w:after="360"/>
      <w:ind w:right="1835"/>
    </w:pPr>
    <w:rPr>
      <w:rFonts w:cs="PostGrotesk-Book"/>
      <w:color w:val="7F7F7F"/>
      <w:sz w:val="28"/>
      <w:szCs w:val="28"/>
      <w:lang w:eastAsia="en-US"/>
    </w:rPr>
  </w:style>
  <w:style w:type="paragraph" w:customStyle="1" w:styleId="Linebreak11pt">
    <w:name w:val="Line break 11pt"/>
    <w:basedOn w:val="BasicParagraph"/>
    <w:qFormat/>
    <w:rsid w:val="008B7923"/>
    <w:pPr>
      <w:suppressAutoHyphens/>
    </w:pPr>
    <w:rPr>
      <w:rFonts w:ascii="Calibri" w:hAnsi="Calibri" w:cs="PostGrotesk-Medium"/>
      <w:color w:val="55565A"/>
      <w:sz w:val="22"/>
      <w:szCs w:val="22"/>
    </w:rPr>
  </w:style>
  <w:style w:type="paragraph" w:customStyle="1" w:styleId="Disclaimer">
    <w:name w:val="Disclaimer"/>
    <w:basedOn w:val="Normal"/>
    <w:qFormat/>
    <w:rsid w:val="00064688"/>
    <w:pPr>
      <w:ind w:right="-7"/>
    </w:pPr>
    <w:rPr>
      <w:rFonts w:cs="PostGrotesk-Book"/>
      <w:color w:val="555559"/>
      <w:sz w:val="18"/>
      <w:szCs w:val="18"/>
    </w:rPr>
  </w:style>
  <w:style w:type="paragraph" w:customStyle="1" w:styleId="IntroductoryText">
    <w:name w:val="Introductory Text"/>
    <w:qFormat/>
    <w:rsid w:val="00863040"/>
    <w:pPr>
      <w:suppressAutoHyphens/>
      <w:spacing w:after="360"/>
      <w:ind w:right="1835"/>
    </w:pPr>
    <w:rPr>
      <w:rFonts w:cs="PostGrotesk-Book"/>
      <w:color w:val="555559"/>
      <w:sz w:val="28"/>
      <w:szCs w:val="28"/>
      <w:lang w:eastAsia="en-US"/>
    </w:rPr>
  </w:style>
  <w:style w:type="paragraph" w:customStyle="1" w:styleId="DocumentTitle">
    <w:name w:val="Document Title"/>
    <w:basedOn w:val="Header"/>
    <w:qFormat/>
    <w:rsid w:val="00863040"/>
    <w:pPr>
      <w:tabs>
        <w:tab w:val="clear" w:pos="9026"/>
        <w:tab w:val="left" w:pos="6946"/>
      </w:tabs>
      <w:spacing w:before="840" w:after="120"/>
    </w:pPr>
    <w:rPr>
      <w:rFonts w:ascii="Arial" w:hAnsi="Arial" w:cs="Arial"/>
      <w:b/>
      <w:color w:val="430098"/>
      <w:sz w:val="40"/>
      <w:szCs w:val="40"/>
    </w:rPr>
  </w:style>
  <w:style w:type="paragraph" w:customStyle="1" w:styleId="DocumentSubtitle">
    <w:name w:val="Document Subtitle"/>
    <w:basedOn w:val="Header"/>
    <w:qFormat/>
    <w:rsid w:val="00863040"/>
    <w:pPr>
      <w:tabs>
        <w:tab w:val="left" w:pos="6946"/>
      </w:tabs>
      <w:spacing w:after="240"/>
    </w:pPr>
    <w:rPr>
      <w:rFonts w:ascii="Arial" w:hAnsi="Arial" w:cs="Arial"/>
      <w:color w:val="555559"/>
      <w:sz w:val="32"/>
      <w:szCs w:val="32"/>
    </w:rPr>
  </w:style>
  <w:style w:type="table" w:styleId="PlainTable1">
    <w:name w:val="Plain Table 1"/>
    <w:basedOn w:val="TableNormal"/>
    <w:uiPriority w:val="41"/>
    <w:rsid w:val="008B792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
    <w:name w:val="Table Heading"/>
    <w:qFormat/>
    <w:rsid w:val="008B7923"/>
    <w:rPr>
      <w:rFonts w:cs="PostGrotesk-Book"/>
      <w:b/>
      <w:bCs/>
      <w:color w:val="55565A"/>
      <w:sz w:val="22"/>
      <w:szCs w:val="22"/>
      <w:lang w:eastAsia="en-US"/>
    </w:rPr>
  </w:style>
  <w:style w:type="paragraph" w:customStyle="1" w:styleId="TableBody">
    <w:name w:val="Table Body"/>
    <w:qFormat/>
    <w:rsid w:val="008B7923"/>
    <w:rPr>
      <w:bCs/>
      <w:color w:val="55565A"/>
      <w:sz w:val="22"/>
      <w:szCs w:val="22"/>
      <w:lang w:eastAsia="en-US"/>
    </w:rPr>
  </w:style>
  <w:style w:type="paragraph" w:customStyle="1" w:styleId="FurtherInfo">
    <w:name w:val="Further Info"/>
    <w:qFormat/>
    <w:rsid w:val="00372C3E"/>
    <w:pPr>
      <w:pBdr>
        <w:top w:val="single" w:sz="4" w:space="6" w:color="430098"/>
      </w:pBdr>
      <w:spacing w:before="480" w:after="200"/>
    </w:pPr>
    <w:rPr>
      <w:rFonts w:cs="PostGrotesk-Medium"/>
      <w:color w:val="430098"/>
      <w:sz w:val="28"/>
      <w:szCs w:val="28"/>
      <w:lang w:eastAsia="en-US"/>
    </w:rPr>
  </w:style>
  <w:style w:type="paragraph" w:customStyle="1" w:styleId="ProtectiveMarkings">
    <w:name w:val="Protective Markings"/>
    <w:basedOn w:val="Normal"/>
    <w:qFormat/>
    <w:rsid w:val="00E74731"/>
    <w:rPr>
      <w:b/>
      <w:color w:val="FF0000"/>
      <w:sz w:val="44"/>
      <w:szCs w:val="44"/>
      <w:lang w:val="en-AU"/>
    </w:rPr>
  </w:style>
  <w:style w:type="character" w:styleId="Hyperlink">
    <w:name w:val="Hyperlink"/>
    <w:basedOn w:val="DefaultParagraphFont"/>
    <w:uiPriority w:val="99"/>
    <w:unhideWhenUsed/>
    <w:rsid w:val="000A3A47"/>
    <w:rPr>
      <w:color w:val="0563C1" w:themeColor="hyperlink"/>
      <w:u w:val="single"/>
    </w:rPr>
  </w:style>
  <w:style w:type="character" w:styleId="UnresolvedMention">
    <w:name w:val="Unresolved Mention"/>
    <w:basedOn w:val="DefaultParagraphFont"/>
    <w:uiPriority w:val="99"/>
    <w:rsid w:val="000A3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vic.vic.gov.au/data-protection/for-agencies/vpdsf-resources/" TargetMode="External"/><Relationship Id="rId18" Type="http://schemas.openxmlformats.org/officeDocument/2006/relationships/hyperlink" Target="https://ovic.vic.gov.au/resource/practitioner-guide-protective-markings-v2-0/" TargetMode="External"/><Relationship Id="rId26" Type="http://schemas.openxmlformats.org/officeDocument/2006/relationships/hyperlink" Target="https://ovic.vic.gov.au/data-protection/agency-reporting-obligations/pdsp-submission/" TargetMode="External"/><Relationship Id="rId3" Type="http://schemas.openxmlformats.org/officeDocument/2006/relationships/styles" Target="styles.xml"/><Relationship Id="rId21" Type="http://schemas.openxmlformats.org/officeDocument/2006/relationships/hyperlink" Target="https://ovic.vic.gov.au/data-protection/agency-reporting-obligations/incident-notification/"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vic.vic.gov.au/resource/sample-information-asset-register-iar-template/" TargetMode="External"/><Relationship Id="rId17" Type="http://schemas.openxmlformats.org/officeDocument/2006/relationships/hyperlink" Target="https://ovic.vic.gov.au/data-protection/for-agencies/victorian-information-security-network/" TargetMode="External"/><Relationship Id="rId25" Type="http://schemas.openxmlformats.org/officeDocument/2006/relationships/hyperlink" Target="https://ovic.vic.gov.au/data-protection/for-agencies/vpdsf-resources/"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vic.vic.gov.au/data-protection/standards/" TargetMode="External"/><Relationship Id="rId20" Type="http://schemas.openxmlformats.org/officeDocument/2006/relationships/hyperlink" Target="https://www.protectivesecurity.gov.au/information/sensitive-classified-information/Pages/default.aspx" TargetMode="External"/><Relationship Id="rId29" Type="http://schemas.openxmlformats.org/officeDocument/2006/relationships/hyperlink" Target="https://ovic.vic.gov.au/wp-content/uploads/2019/11/VPDSF-Document-Map-November-201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urity@ovic.vic.gov.au" TargetMode="External"/><Relationship Id="rId24" Type="http://schemas.openxmlformats.org/officeDocument/2006/relationships/hyperlink" Target="https://ovic.vic.gov.au/data-protection/standards/" TargetMode="External"/><Relationship Id="rId32" Type="http://schemas.openxmlformats.org/officeDocument/2006/relationships/hyperlink" Target="https://ovic.vic.gov.au/data-protection/agency-reporting-obligations/pdsp-submission/" TargetMode="External"/><Relationship Id="rId5" Type="http://schemas.openxmlformats.org/officeDocument/2006/relationships/webSettings" Target="webSettings.xml"/><Relationship Id="rId15" Type="http://schemas.openxmlformats.org/officeDocument/2006/relationships/hyperlink" Target="https://ovic.vic.gov.au/data-protection/agency-reporting-obligations/pdsp-submission/" TargetMode="External"/><Relationship Id="rId23" Type="http://schemas.openxmlformats.org/officeDocument/2006/relationships/hyperlink" Target="https://ovic.vic.gov.au/data-protection/for-agencies/vpdsf-resources/" TargetMode="External"/><Relationship Id="rId28" Type="http://schemas.openxmlformats.org/officeDocument/2006/relationships/hyperlink" Target="https://ovic.vic.gov.au/data-protection/agency-reporting-obligations/incident-notification/" TargetMode="Externa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ovic.vic.gov.au/resource/user-guide-handling-protectively-marked-information-v2-0/" TargetMode="External"/><Relationship Id="rId31" Type="http://schemas.openxmlformats.org/officeDocument/2006/relationships/hyperlink" Target="https://ovic.vic.gov.au/resource/mapping-vpdss-v1-0-to-v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ovic.vic.gov.au/resource/practitioner-guide-assessing-the-security-value-of-information-v2-0/" TargetMode="External"/><Relationship Id="rId22" Type="http://schemas.openxmlformats.org/officeDocument/2006/relationships/hyperlink" Target="https://ovic.vic.gov.au/data-protection/agency-reporting-obligations/pdsp-submission/" TargetMode="External"/><Relationship Id="rId27" Type="http://schemas.openxmlformats.org/officeDocument/2006/relationships/hyperlink" Target="https://ovic.vic.gov.au/resource/ovic-information-security-incident-notification-scheme-v1-0/" TargetMode="External"/><Relationship Id="rId30" Type="http://schemas.openxmlformats.org/officeDocument/2006/relationships/hyperlink" Target="https://ovic.vic.gov.au/resource/mapping-vpdss-v1-0-to-v2-0/" TargetMode="External"/><Relationship Id="rId35" Type="http://schemas.openxmlformats.org/officeDocument/2006/relationships/fontTable" Target="fontTable.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dministration/Admin%20Resources/Templates/CPDP150155%20General%20Office%20Templates/OVIC%20Branding/Fact%20sheet%20-%202%20colum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C80A-4BE7-CC4C-9078-C474A7D4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- 2 column.dotx</Template>
  <TotalTime>38</TotalTime>
  <Pages>7</Pages>
  <Words>2265</Words>
  <Characters>12143</Characters>
  <Application>Microsoft Office Word</Application>
  <DocSecurity>0</DocSecurity>
  <Lines>192</Lines>
  <Paragraphs>14</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2017-12-19T01:45:00Z</cp:lastPrinted>
  <dcterms:created xsi:type="dcterms:W3CDTF">2019-12-02T22:01:00Z</dcterms:created>
  <dcterms:modified xsi:type="dcterms:W3CDTF">2019-12-03T02:46:00Z</dcterms:modified>
</cp:coreProperties>
</file>