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A1A81" w14:textId="214C575B" w:rsidR="003E7408" w:rsidRPr="005E0CD6" w:rsidRDefault="003E7408" w:rsidP="005E0CD6">
      <w:pPr>
        <w:pStyle w:val="DocumentTitle"/>
        <w:spacing w:before="240" w:after="240"/>
      </w:pPr>
      <w:r w:rsidRPr="005E0CD6">
        <w:t>Victorian Protective Data Security Standards (VPDSS)</w:t>
      </w:r>
      <w:r w:rsidR="00F25BF9" w:rsidRPr="005E0CD6">
        <w:t xml:space="preserve"> V2.0</w:t>
      </w:r>
    </w:p>
    <w:p w14:paraId="0257B456" w14:textId="47F6B342" w:rsidR="003E7408" w:rsidRPr="00346148" w:rsidRDefault="00F25BF9" w:rsidP="003E7408">
      <w:pPr>
        <w:pStyle w:val="Header"/>
        <w:tabs>
          <w:tab w:val="left" w:pos="6946"/>
        </w:tabs>
        <w:spacing w:after="240"/>
        <w:rPr>
          <w:rFonts w:ascii="Arial" w:hAnsi="Arial" w:cs="Arial"/>
          <w:color w:val="555559"/>
          <w:sz w:val="30"/>
          <w:szCs w:val="30"/>
        </w:rPr>
      </w:pPr>
      <w:r>
        <w:rPr>
          <w:rFonts w:ascii="Arial" w:hAnsi="Arial" w:cs="Arial"/>
          <w:color w:val="555559"/>
          <w:sz w:val="30"/>
          <w:szCs w:val="30"/>
        </w:rPr>
        <w:t xml:space="preserve">Consultation </w:t>
      </w:r>
      <w:r w:rsidR="003E7408">
        <w:rPr>
          <w:rFonts w:ascii="Arial" w:hAnsi="Arial" w:cs="Arial"/>
          <w:color w:val="555559"/>
          <w:sz w:val="30"/>
          <w:szCs w:val="30"/>
        </w:rPr>
        <w:t xml:space="preserve">Questions and Answers </w:t>
      </w:r>
    </w:p>
    <w:p w14:paraId="652CDBB4" w14:textId="2953CAB2" w:rsidR="003E7408" w:rsidRPr="003E7408" w:rsidRDefault="003E7408" w:rsidP="005E0CD6">
      <w:pPr>
        <w:pStyle w:val="SectionHeading1"/>
        <w:spacing w:after="240"/>
      </w:pPr>
      <w:r w:rsidRPr="003E7408">
        <w:rPr>
          <w:rStyle w:val="Strong"/>
          <w:b w:val="0"/>
          <w:bCs w:val="0"/>
        </w:rPr>
        <w:t>Thank you to all who provided OVIC with valuable feedback during the consultation of our draft updated standards. Your input has helped shaped the new version 2.0. We have correlated some frequently asked questions and answers received during the VPDSS consultation period for our stakeholders to gain an insight into our development and delivery of VPDSS V2.0.</w:t>
      </w:r>
    </w:p>
    <w:p w14:paraId="2C17D7F9" w14:textId="2717C745" w:rsidR="001868B8" w:rsidRDefault="001868B8"/>
    <w:tbl>
      <w:tblPr>
        <w:tblStyle w:val="TableGrid"/>
        <w:tblW w:w="9638"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9E5E2"/>
        <w:tblCellMar>
          <w:top w:w="142" w:type="dxa"/>
          <w:left w:w="142" w:type="dxa"/>
          <w:bottom w:w="142" w:type="dxa"/>
          <w:right w:w="142" w:type="dxa"/>
        </w:tblCellMar>
        <w:tblLook w:val="04A0" w:firstRow="1" w:lastRow="0" w:firstColumn="1" w:lastColumn="0" w:noHBand="0" w:noVBand="1"/>
      </w:tblPr>
      <w:tblGrid>
        <w:gridCol w:w="4819"/>
        <w:gridCol w:w="4819"/>
      </w:tblGrid>
      <w:tr w:rsidR="003E7408" w14:paraId="7F4F173E" w14:textId="77777777" w:rsidTr="005E0CD6">
        <w:trPr>
          <w:cantSplit/>
          <w:tblHeader/>
        </w:trPr>
        <w:tc>
          <w:tcPr>
            <w:tcW w:w="4819" w:type="dxa"/>
            <w:tcBorders>
              <w:left w:val="nil"/>
            </w:tcBorders>
            <w:shd w:val="clear" w:color="auto" w:fill="5620A9"/>
          </w:tcPr>
          <w:p w14:paraId="36048F35" w14:textId="29401FDD" w:rsidR="003E7408" w:rsidRPr="005E0CD6" w:rsidRDefault="003E7408" w:rsidP="00307AF8">
            <w:pPr>
              <w:pStyle w:val="SectionHeading1"/>
              <w:spacing w:before="120" w:after="120"/>
              <w:rPr>
                <w:b/>
                <w:bCs/>
                <w:color w:val="FFFFFF" w:themeColor="background1"/>
              </w:rPr>
            </w:pPr>
            <w:r w:rsidRPr="005E0CD6">
              <w:rPr>
                <w:b/>
                <w:bCs/>
                <w:color w:val="FFFFFF" w:themeColor="background1"/>
              </w:rPr>
              <w:t>Question/Comment</w:t>
            </w:r>
          </w:p>
        </w:tc>
        <w:tc>
          <w:tcPr>
            <w:tcW w:w="4819" w:type="dxa"/>
            <w:shd w:val="clear" w:color="auto" w:fill="5620A9"/>
          </w:tcPr>
          <w:p w14:paraId="67F6BA1F" w14:textId="5260D10A" w:rsidR="003E7408" w:rsidRPr="005E0CD6" w:rsidRDefault="003E7408" w:rsidP="00307AF8">
            <w:pPr>
              <w:pStyle w:val="SectionHeading1"/>
              <w:spacing w:before="120" w:after="120"/>
              <w:rPr>
                <w:b/>
                <w:bCs/>
                <w:color w:val="FFFFFF" w:themeColor="background1"/>
              </w:rPr>
            </w:pPr>
            <w:r w:rsidRPr="005E0CD6">
              <w:rPr>
                <w:b/>
                <w:bCs/>
                <w:color w:val="FFFFFF" w:themeColor="background1"/>
              </w:rPr>
              <w:t>OVIC response</w:t>
            </w:r>
          </w:p>
        </w:tc>
      </w:tr>
      <w:tr w:rsidR="003E7408" w14:paraId="4A1CD507" w14:textId="77777777" w:rsidTr="005E0CD6">
        <w:trPr>
          <w:cantSplit/>
        </w:trPr>
        <w:tc>
          <w:tcPr>
            <w:tcW w:w="4819" w:type="dxa"/>
            <w:tcBorders>
              <w:left w:val="nil"/>
            </w:tcBorders>
            <w:shd w:val="clear" w:color="auto" w:fill="E9E5E2"/>
          </w:tcPr>
          <w:p w14:paraId="7C5D88BE" w14:textId="37EFDCBD" w:rsidR="003E7408" w:rsidRDefault="003E7408" w:rsidP="00307AF8">
            <w:pPr>
              <w:pStyle w:val="Body"/>
              <w:spacing w:before="120" w:after="120"/>
            </w:pPr>
            <w:r w:rsidRPr="003E7408">
              <w:t>Changing the language used throughout to active voice and removing ‘must’</w:t>
            </w:r>
          </w:p>
        </w:tc>
        <w:tc>
          <w:tcPr>
            <w:tcW w:w="4819" w:type="dxa"/>
            <w:shd w:val="clear" w:color="auto" w:fill="E9E5E2"/>
          </w:tcPr>
          <w:p w14:paraId="2B53D4F0" w14:textId="768ACFFA" w:rsidR="003E7408" w:rsidRDefault="003E7408" w:rsidP="00307AF8">
            <w:pPr>
              <w:pStyle w:val="Body"/>
              <w:spacing w:before="120" w:after="120"/>
            </w:pPr>
            <w:r w:rsidRPr="003E7408">
              <w:rPr>
                <w:rStyle w:val="Strong"/>
                <w:b w:val="0"/>
                <w:bCs w:val="0"/>
              </w:rPr>
              <w:t>Most submissions supported this change. Stakeholders felt the updated wording was easier to understand across the business and ‘must’ was not required given the VPDSS is already mandated under the Privacy and Data Protection Act.</w:t>
            </w:r>
          </w:p>
        </w:tc>
      </w:tr>
      <w:tr w:rsidR="003E7408" w:rsidRPr="003E7408" w14:paraId="1895F9D4" w14:textId="77777777" w:rsidTr="005E0CD6">
        <w:trPr>
          <w:cantSplit/>
        </w:trPr>
        <w:tc>
          <w:tcPr>
            <w:tcW w:w="4819" w:type="dxa"/>
            <w:tcBorders>
              <w:left w:val="nil"/>
            </w:tcBorders>
            <w:shd w:val="clear" w:color="auto" w:fill="E9E5E2"/>
          </w:tcPr>
          <w:p w14:paraId="6350479D" w14:textId="2AA05544" w:rsidR="003E7408" w:rsidRPr="003E7408" w:rsidRDefault="003E7408" w:rsidP="00307AF8">
            <w:pPr>
              <w:pStyle w:val="Body"/>
              <w:spacing w:before="120" w:after="120"/>
            </w:pPr>
            <w:r w:rsidRPr="003E7408">
              <w:t>Introducing incident notification under the new Standard 9</w:t>
            </w:r>
          </w:p>
        </w:tc>
        <w:tc>
          <w:tcPr>
            <w:tcW w:w="4819" w:type="dxa"/>
            <w:shd w:val="clear" w:color="auto" w:fill="E9E5E2"/>
          </w:tcPr>
          <w:p w14:paraId="5AC64970" w14:textId="77777777" w:rsidR="003E7408" w:rsidRPr="003E7408" w:rsidRDefault="003E7408" w:rsidP="00307AF8">
            <w:pPr>
              <w:pStyle w:val="Body"/>
              <w:spacing w:before="120" w:after="120"/>
              <w:rPr>
                <w:rStyle w:val="Strong"/>
                <w:b w:val="0"/>
                <w:bCs w:val="0"/>
              </w:rPr>
            </w:pPr>
            <w:r w:rsidRPr="003E7408">
              <w:rPr>
                <w:rStyle w:val="Strong"/>
                <w:b w:val="0"/>
                <w:bCs w:val="0"/>
              </w:rPr>
              <w:t xml:space="preserve">Most submissions supported this change. Stakeholders felt this wasn’t too onerous as they already have reporting obligations for incidents currently or understand this is the natural role of regulators so this would just be another party to add in an organisation’s incident response plan. </w:t>
            </w:r>
          </w:p>
          <w:p w14:paraId="19D8432E" w14:textId="03FC3DB6" w:rsidR="003E7408" w:rsidRPr="003E7408" w:rsidRDefault="003E7408" w:rsidP="00307AF8">
            <w:pPr>
              <w:pStyle w:val="Body"/>
              <w:spacing w:before="120" w:after="120"/>
              <w:rPr>
                <w:rStyle w:val="Strong"/>
                <w:b w:val="0"/>
                <w:bCs w:val="0"/>
              </w:rPr>
            </w:pPr>
            <w:r w:rsidRPr="003E7408">
              <w:rPr>
                <w:rStyle w:val="Strong"/>
                <w:b w:val="0"/>
                <w:bCs w:val="0"/>
              </w:rPr>
              <w:t>Most of the questions around incident reporting were around the detail i.e. what, when, who and how.</w:t>
            </w:r>
            <w:r w:rsidRPr="003E7408">
              <w:t xml:space="preserve"> OVIC is in the process of developing some supporting guidance related to how this will operate in practice.</w:t>
            </w:r>
            <w:r w:rsidRPr="003E7408">
              <w:rPr>
                <w:rStyle w:val="Strong"/>
                <w:b w:val="0"/>
                <w:bCs w:val="0"/>
              </w:rPr>
              <w:t xml:space="preserve"> </w:t>
            </w:r>
          </w:p>
        </w:tc>
      </w:tr>
      <w:tr w:rsidR="003E7408" w:rsidRPr="003E7408" w14:paraId="4168E8C8" w14:textId="77777777" w:rsidTr="005E0CD6">
        <w:trPr>
          <w:cantSplit/>
        </w:trPr>
        <w:tc>
          <w:tcPr>
            <w:tcW w:w="4819" w:type="dxa"/>
            <w:tcBorders>
              <w:left w:val="nil"/>
            </w:tcBorders>
            <w:shd w:val="clear" w:color="auto" w:fill="E9E5E2"/>
          </w:tcPr>
          <w:p w14:paraId="6576E91B" w14:textId="63F3D463" w:rsidR="003E7408" w:rsidRPr="003E7408" w:rsidRDefault="003E7408" w:rsidP="00307AF8">
            <w:pPr>
              <w:pStyle w:val="Body"/>
              <w:spacing w:before="120" w:after="120"/>
            </w:pPr>
            <w:r w:rsidRPr="003E7408">
              <w:t>Including the sources from which the standards have been derived</w:t>
            </w:r>
          </w:p>
        </w:tc>
        <w:tc>
          <w:tcPr>
            <w:tcW w:w="4819" w:type="dxa"/>
            <w:shd w:val="clear" w:color="auto" w:fill="E9E5E2"/>
          </w:tcPr>
          <w:p w14:paraId="1DD9A3AD" w14:textId="7ED8116E" w:rsidR="003E7408" w:rsidRPr="003E7408" w:rsidRDefault="003E7408" w:rsidP="00307AF8">
            <w:pPr>
              <w:pStyle w:val="Body"/>
              <w:spacing w:before="120" w:after="120"/>
              <w:rPr>
                <w:rStyle w:val="Strong"/>
                <w:b w:val="0"/>
                <w:bCs w:val="0"/>
              </w:rPr>
            </w:pPr>
            <w:r w:rsidRPr="003E7408">
              <w:rPr>
                <w:rStyle w:val="Strong"/>
                <w:b w:val="0"/>
                <w:bCs w:val="0"/>
              </w:rPr>
              <w:t>This was a welcomed addition to the detailed VPDSS implementation guide, reducing the number of documents stakeholders had to navigate to when seeking implementation guidance.</w:t>
            </w:r>
          </w:p>
        </w:tc>
      </w:tr>
      <w:tr w:rsidR="003E7408" w:rsidRPr="003E7408" w14:paraId="5A38A10F" w14:textId="77777777" w:rsidTr="005E0CD6">
        <w:trPr>
          <w:cantSplit/>
        </w:trPr>
        <w:tc>
          <w:tcPr>
            <w:tcW w:w="4819" w:type="dxa"/>
            <w:tcBorders>
              <w:left w:val="nil"/>
            </w:tcBorders>
            <w:shd w:val="clear" w:color="auto" w:fill="E9E5E2"/>
          </w:tcPr>
          <w:p w14:paraId="3DBC092D" w14:textId="7687FCAB" w:rsidR="003E7408" w:rsidRPr="003E7408" w:rsidRDefault="003E7408" w:rsidP="00307AF8">
            <w:pPr>
              <w:pStyle w:val="Body"/>
              <w:spacing w:before="120" w:after="120"/>
            </w:pPr>
            <w:r w:rsidRPr="003E7408">
              <w:lastRenderedPageBreak/>
              <w:t>Add ‘based on the organisation’s risk appetite/tolerance’ to each of the elements.</w:t>
            </w:r>
          </w:p>
        </w:tc>
        <w:tc>
          <w:tcPr>
            <w:tcW w:w="4819" w:type="dxa"/>
            <w:shd w:val="clear" w:color="auto" w:fill="E9E5E2"/>
          </w:tcPr>
          <w:p w14:paraId="40633F8B" w14:textId="77777777" w:rsidR="003E7408" w:rsidRPr="003E7408" w:rsidRDefault="003E7408" w:rsidP="00307AF8">
            <w:pPr>
              <w:pStyle w:val="Body"/>
              <w:spacing w:before="120" w:after="120"/>
              <w:rPr>
                <w:rStyle w:val="Strong"/>
                <w:b w:val="0"/>
                <w:bCs w:val="0"/>
              </w:rPr>
            </w:pPr>
            <w:r w:rsidRPr="003E7408">
              <w:rPr>
                <w:rStyle w:val="Strong"/>
                <w:b w:val="0"/>
                <w:bCs w:val="0"/>
              </w:rPr>
              <w:t xml:space="preserve">Risk management is an underlying principle of the VPDSS as detailed in the VPDSF. Applying the VPDSS requires an understanding of the organisation’s risk posture as stated in many of the Standards themselves.  </w:t>
            </w:r>
          </w:p>
          <w:p w14:paraId="3A899934" w14:textId="77777777" w:rsidR="003E7408" w:rsidRPr="003E7408" w:rsidRDefault="003E7408" w:rsidP="00307AF8">
            <w:pPr>
              <w:pStyle w:val="Body"/>
              <w:spacing w:before="120" w:after="120"/>
              <w:rPr>
                <w:rStyle w:val="Strong"/>
                <w:b w:val="0"/>
                <w:bCs w:val="0"/>
              </w:rPr>
            </w:pPr>
            <w:r w:rsidRPr="003E7408">
              <w:rPr>
                <w:rStyle w:val="Strong"/>
                <w:b w:val="0"/>
                <w:bCs w:val="0"/>
              </w:rPr>
              <w:t>Rather than adding ‘based on risk’ to every element, the section ‘A word on the elements’ has been updated to explicitly call out up front that the overall application of all the elements needs to take into consideration the following three criteria:</w:t>
            </w:r>
          </w:p>
          <w:p w14:paraId="4BC73456" w14:textId="77777777" w:rsidR="003E7408" w:rsidRPr="003E7408" w:rsidRDefault="003E7408" w:rsidP="00307AF8">
            <w:pPr>
              <w:pStyle w:val="Body"/>
              <w:spacing w:before="120" w:after="120"/>
            </w:pPr>
            <w:r w:rsidRPr="003E7408">
              <w:t>internal and external context;</w:t>
            </w:r>
          </w:p>
          <w:p w14:paraId="342F95EB" w14:textId="77777777" w:rsidR="003E7408" w:rsidRPr="003E7408" w:rsidRDefault="003E7408" w:rsidP="00307AF8">
            <w:pPr>
              <w:pStyle w:val="Body"/>
              <w:spacing w:before="120" w:after="120"/>
            </w:pPr>
            <w:r w:rsidRPr="003E7408">
              <w:t xml:space="preserve">the security value of the information; and </w:t>
            </w:r>
          </w:p>
          <w:p w14:paraId="71B8D10C" w14:textId="20972793" w:rsidR="003E7408" w:rsidRPr="003E7408" w:rsidRDefault="003E7408" w:rsidP="00307AF8">
            <w:pPr>
              <w:pStyle w:val="Body"/>
              <w:spacing w:before="120" w:after="120"/>
              <w:rPr>
                <w:rStyle w:val="Strong"/>
                <w:b w:val="0"/>
                <w:bCs w:val="0"/>
              </w:rPr>
            </w:pPr>
            <w:r w:rsidRPr="003E7408">
              <w:t>associated risks.</w:t>
            </w:r>
            <w:r w:rsidRPr="003E7408">
              <w:tab/>
            </w:r>
          </w:p>
        </w:tc>
      </w:tr>
      <w:tr w:rsidR="003E7408" w:rsidRPr="003E7408" w14:paraId="701790C6" w14:textId="77777777" w:rsidTr="005E0CD6">
        <w:trPr>
          <w:cantSplit/>
        </w:trPr>
        <w:tc>
          <w:tcPr>
            <w:tcW w:w="4819" w:type="dxa"/>
            <w:tcBorders>
              <w:left w:val="nil"/>
            </w:tcBorders>
            <w:shd w:val="clear" w:color="auto" w:fill="E9E5E2"/>
          </w:tcPr>
          <w:p w14:paraId="50756A07" w14:textId="59F519D1" w:rsidR="003E7408" w:rsidRPr="003E7408" w:rsidRDefault="003E7408" w:rsidP="00307AF8">
            <w:pPr>
              <w:pStyle w:val="Body"/>
              <w:spacing w:before="120" w:after="120"/>
            </w:pPr>
            <w:r w:rsidRPr="003E7408">
              <w:t>Can you please add reference to additional resources?</w:t>
            </w:r>
          </w:p>
        </w:tc>
        <w:tc>
          <w:tcPr>
            <w:tcW w:w="4819" w:type="dxa"/>
            <w:shd w:val="clear" w:color="auto" w:fill="E9E5E2"/>
          </w:tcPr>
          <w:p w14:paraId="61D5E5A7" w14:textId="77777777" w:rsidR="003E7408" w:rsidRPr="003E7408" w:rsidRDefault="003E7408" w:rsidP="00307AF8">
            <w:pPr>
              <w:pStyle w:val="Body"/>
              <w:spacing w:before="120" w:after="120"/>
              <w:rPr>
                <w:rStyle w:val="Strong"/>
                <w:b w:val="0"/>
                <w:bCs w:val="0"/>
              </w:rPr>
            </w:pPr>
            <w:r w:rsidRPr="003E7408">
              <w:t>OVIC has referenced the primary source documents used for each element to give further information regarding implementation.</w:t>
            </w:r>
            <w:r w:rsidRPr="003E7408">
              <w:rPr>
                <w:rStyle w:val="Strong"/>
                <w:b w:val="0"/>
                <w:bCs w:val="0"/>
              </w:rPr>
              <w:t xml:space="preserve"> </w:t>
            </w:r>
          </w:p>
          <w:p w14:paraId="65D81ACC" w14:textId="77777777" w:rsidR="003E7408" w:rsidRPr="003E7408" w:rsidRDefault="003E7408" w:rsidP="00307AF8">
            <w:pPr>
              <w:pStyle w:val="Body"/>
              <w:spacing w:before="120" w:after="120"/>
              <w:rPr>
                <w:rStyle w:val="Strong"/>
                <w:b w:val="0"/>
                <w:bCs w:val="0"/>
              </w:rPr>
            </w:pPr>
            <w:r w:rsidRPr="003E7408">
              <w:rPr>
                <w:rStyle w:val="Strong"/>
                <w:b w:val="0"/>
                <w:bCs w:val="0"/>
              </w:rPr>
              <w:t>OVIC is happy to explore the development of a supplementary resource list for practitioners.</w:t>
            </w:r>
          </w:p>
          <w:p w14:paraId="43716409" w14:textId="2E88E9DD" w:rsidR="003E7408" w:rsidRPr="003E7408" w:rsidRDefault="003E7408" w:rsidP="00307AF8">
            <w:pPr>
              <w:pStyle w:val="Body"/>
              <w:spacing w:before="120" w:after="120"/>
              <w:rPr>
                <w:rStyle w:val="Strong"/>
                <w:b w:val="0"/>
                <w:bCs w:val="0"/>
              </w:rPr>
            </w:pPr>
            <w:r w:rsidRPr="003E7408">
              <w:rPr>
                <w:rStyle w:val="Strong"/>
                <w:b w:val="0"/>
                <w:bCs w:val="0"/>
              </w:rPr>
              <w:t xml:space="preserve">Organisations are encouraged to create their own internal control library, which can reference additional sources beyond those offered under the VPDSS. </w:t>
            </w:r>
          </w:p>
        </w:tc>
      </w:tr>
      <w:tr w:rsidR="003E7408" w14:paraId="74C86351" w14:textId="77777777" w:rsidTr="005E0CD6">
        <w:trPr>
          <w:cantSplit/>
        </w:trPr>
        <w:tc>
          <w:tcPr>
            <w:tcW w:w="4819" w:type="dxa"/>
            <w:tcBorders>
              <w:left w:val="nil"/>
            </w:tcBorders>
            <w:shd w:val="clear" w:color="auto" w:fill="E9E5E2"/>
          </w:tcPr>
          <w:p w14:paraId="7D3ED2D1" w14:textId="56938560" w:rsidR="003E7408" w:rsidRPr="003E7408" w:rsidRDefault="003E7408" w:rsidP="00307AF8">
            <w:pPr>
              <w:pStyle w:val="Body"/>
              <w:spacing w:before="120" w:after="120"/>
            </w:pPr>
            <w:r>
              <w:t>How would implementation of element ‘</w:t>
            </w:r>
            <w:r w:rsidRPr="004E689F">
              <w:rPr>
                <w:i/>
                <w:iCs/>
              </w:rPr>
              <w:t>X</w:t>
            </w:r>
            <w:r>
              <w:t>‘</w:t>
            </w:r>
            <w:r w:rsidR="00CE3D60">
              <w:t xml:space="preserve"> </w:t>
            </w:r>
            <w:r>
              <w:t>look like? Would ‘</w:t>
            </w:r>
            <w:r w:rsidRPr="004E689F">
              <w:rPr>
                <w:i/>
                <w:iCs/>
              </w:rPr>
              <w:t>X</w:t>
            </w:r>
            <w:r>
              <w:t>’ be sufficient?</w:t>
            </w:r>
          </w:p>
        </w:tc>
        <w:tc>
          <w:tcPr>
            <w:tcW w:w="4819" w:type="dxa"/>
            <w:shd w:val="clear" w:color="auto" w:fill="E9E5E2"/>
          </w:tcPr>
          <w:p w14:paraId="6E2AA352" w14:textId="23A49B4C" w:rsidR="003E7408" w:rsidRPr="003E7408" w:rsidRDefault="003E7408" w:rsidP="00307AF8">
            <w:pPr>
              <w:pStyle w:val="Body"/>
              <w:spacing w:before="120" w:after="120"/>
              <w:rPr>
                <w:rStyle w:val="Strong"/>
                <w:b w:val="0"/>
                <w:bCs w:val="0"/>
              </w:rPr>
            </w:pPr>
            <w:r>
              <w:rPr>
                <w:lang w:eastAsia="en-AU"/>
              </w:rPr>
              <w:t xml:space="preserve">Implementation of elements will vary from organisation to organisation. One organisation may have a big documentation set with separate documents (policies, procedures) for each topic area, or specific tools to capture and manage their risks/information assets, another organisation may have a single document, a checklist, a spreadsheet. </w:t>
            </w:r>
          </w:p>
        </w:tc>
      </w:tr>
      <w:tr w:rsidR="003E7408" w14:paraId="7891B5CD" w14:textId="77777777" w:rsidTr="005E0CD6">
        <w:trPr>
          <w:cantSplit/>
        </w:trPr>
        <w:tc>
          <w:tcPr>
            <w:tcW w:w="4819" w:type="dxa"/>
            <w:tcBorders>
              <w:left w:val="nil"/>
            </w:tcBorders>
            <w:shd w:val="clear" w:color="auto" w:fill="E9E5E2"/>
          </w:tcPr>
          <w:p w14:paraId="2A40B681" w14:textId="3D88E67C" w:rsidR="003E7408" w:rsidRPr="003E7408" w:rsidRDefault="003E7408" w:rsidP="00307AF8">
            <w:pPr>
              <w:pStyle w:val="Body"/>
              <w:spacing w:before="120" w:after="120"/>
            </w:pPr>
            <w:r>
              <w:lastRenderedPageBreak/>
              <w:t>Please use freely available primary sources.</w:t>
            </w:r>
          </w:p>
        </w:tc>
        <w:tc>
          <w:tcPr>
            <w:tcW w:w="4819" w:type="dxa"/>
            <w:shd w:val="clear" w:color="auto" w:fill="E9E5E2"/>
          </w:tcPr>
          <w:p w14:paraId="0FA6442A" w14:textId="31680351" w:rsidR="003E7408" w:rsidRPr="003E7408" w:rsidRDefault="003E7408" w:rsidP="00307AF8">
            <w:pPr>
              <w:pStyle w:val="Body"/>
              <w:spacing w:before="120" w:after="120"/>
              <w:rPr>
                <w:rStyle w:val="Strong"/>
                <w:b w:val="0"/>
                <w:bCs w:val="0"/>
              </w:rPr>
            </w:pPr>
            <w:r>
              <w:rPr>
                <w:lang w:eastAsia="en-AU"/>
              </w:rPr>
              <w:t xml:space="preserve">The identified primary sources are available free of charge for the VPS either through the source’s direct website or for Australian Standards, through the Victorian Government Library Service for eligible VPS organisations. </w:t>
            </w:r>
          </w:p>
        </w:tc>
      </w:tr>
      <w:tr w:rsidR="003E7408" w14:paraId="5D2EC86C" w14:textId="77777777" w:rsidTr="005E0CD6">
        <w:trPr>
          <w:cantSplit/>
        </w:trPr>
        <w:tc>
          <w:tcPr>
            <w:tcW w:w="4819" w:type="dxa"/>
            <w:tcBorders>
              <w:left w:val="nil"/>
            </w:tcBorders>
            <w:shd w:val="clear" w:color="auto" w:fill="E9E5E2"/>
          </w:tcPr>
          <w:p w14:paraId="17DE8F23" w14:textId="1136D2DF" w:rsidR="003E7408" w:rsidRPr="003E7408" w:rsidRDefault="003E7408" w:rsidP="00307AF8">
            <w:pPr>
              <w:pStyle w:val="Body"/>
              <w:spacing w:before="120" w:after="120"/>
            </w:pPr>
            <w:r>
              <w:t>Please explain the term ‘internal control library’.</w:t>
            </w:r>
          </w:p>
        </w:tc>
        <w:tc>
          <w:tcPr>
            <w:tcW w:w="4819" w:type="dxa"/>
            <w:shd w:val="clear" w:color="auto" w:fill="E9E5E2"/>
          </w:tcPr>
          <w:p w14:paraId="7E54002E" w14:textId="77777777" w:rsidR="003E7408" w:rsidRDefault="003E7408" w:rsidP="00307AF8">
            <w:pPr>
              <w:pStyle w:val="Body"/>
              <w:spacing w:before="120" w:after="120"/>
              <w:rPr>
                <w:lang w:eastAsia="en-AU"/>
              </w:rPr>
            </w:pPr>
            <w:r>
              <w:rPr>
                <w:lang w:eastAsia="en-AU"/>
              </w:rPr>
              <w:t xml:space="preserve">A list of controls used by the organisation to secure information. This may be a single control set from a single source e.g. AS/ISO 27002 or be derived from a variety of sources that the organisation uses. </w:t>
            </w:r>
          </w:p>
          <w:p w14:paraId="50260230" w14:textId="7797E908" w:rsidR="003E7408" w:rsidRPr="003E7408" w:rsidRDefault="003E7408" w:rsidP="00307AF8">
            <w:pPr>
              <w:pStyle w:val="Body"/>
              <w:spacing w:before="120" w:after="120"/>
              <w:rPr>
                <w:rStyle w:val="Strong"/>
                <w:b w:val="0"/>
                <w:bCs w:val="0"/>
              </w:rPr>
            </w:pPr>
            <w:r>
              <w:rPr>
                <w:lang w:eastAsia="en-AU"/>
              </w:rPr>
              <w:t>Note - some organisations may use the VPDSS elements as their internal control library.</w:t>
            </w:r>
          </w:p>
        </w:tc>
      </w:tr>
      <w:tr w:rsidR="003E7408" w14:paraId="35F452F6" w14:textId="77777777" w:rsidTr="005E0CD6">
        <w:trPr>
          <w:cantSplit/>
        </w:trPr>
        <w:tc>
          <w:tcPr>
            <w:tcW w:w="4819" w:type="dxa"/>
            <w:tcBorders>
              <w:left w:val="nil"/>
            </w:tcBorders>
            <w:shd w:val="clear" w:color="auto" w:fill="E9E5E2"/>
          </w:tcPr>
          <w:p w14:paraId="416B02DF" w14:textId="522965FA" w:rsidR="003E7408" w:rsidRPr="003E7408" w:rsidRDefault="003E7408" w:rsidP="00307AF8">
            <w:pPr>
              <w:pStyle w:val="Body"/>
              <w:spacing w:before="120" w:after="120"/>
            </w:pPr>
            <w:r>
              <w:t>What is the difference between a ‘security risk profile assessment’ and ‘security risk assessments’?</w:t>
            </w:r>
          </w:p>
        </w:tc>
        <w:tc>
          <w:tcPr>
            <w:tcW w:w="4819" w:type="dxa"/>
            <w:shd w:val="clear" w:color="auto" w:fill="E9E5E2"/>
          </w:tcPr>
          <w:p w14:paraId="715ABA01" w14:textId="4F1CC483" w:rsidR="003E7408" w:rsidRDefault="003E7408" w:rsidP="00307AF8">
            <w:pPr>
              <w:pStyle w:val="Body"/>
              <w:spacing w:before="120" w:after="120"/>
              <w:rPr>
                <w:lang w:eastAsia="en-AU"/>
              </w:rPr>
            </w:pPr>
            <w:r>
              <w:rPr>
                <w:lang w:eastAsia="en-AU"/>
              </w:rPr>
              <w:t xml:space="preserve">These </w:t>
            </w:r>
            <w:r w:rsidR="00336EDB">
              <w:rPr>
                <w:lang w:eastAsia="en-AU"/>
              </w:rPr>
              <w:t xml:space="preserve">are essentially equivalent and </w:t>
            </w:r>
            <w:r>
              <w:rPr>
                <w:lang w:eastAsia="en-AU"/>
              </w:rPr>
              <w:t>describe the same process of identifying, analysing, evaluating and treating risks.</w:t>
            </w:r>
          </w:p>
          <w:p w14:paraId="415A0811" w14:textId="409E9952" w:rsidR="003E7408" w:rsidRPr="003E7408" w:rsidRDefault="003E7408" w:rsidP="00307AF8">
            <w:pPr>
              <w:pStyle w:val="Body"/>
              <w:spacing w:before="120" w:after="120"/>
              <w:rPr>
                <w:rStyle w:val="Strong"/>
                <w:b w:val="0"/>
                <w:bCs w:val="0"/>
              </w:rPr>
            </w:pPr>
            <w:r>
              <w:rPr>
                <w:lang w:eastAsia="en-AU"/>
              </w:rPr>
              <w:t>OVIC has modified the information security risk management standard and supporting elements to clarify this terminology.</w:t>
            </w:r>
          </w:p>
        </w:tc>
      </w:tr>
      <w:tr w:rsidR="003E7408" w14:paraId="0DD8594C" w14:textId="77777777" w:rsidTr="005E0CD6">
        <w:trPr>
          <w:cantSplit/>
        </w:trPr>
        <w:tc>
          <w:tcPr>
            <w:tcW w:w="4819" w:type="dxa"/>
            <w:tcBorders>
              <w:left w:val="nil"/>
            </w:tcBorders>
            <w:shd w:val="clear" w:color="auto" w:fill="E9E5E2"/>
          </w:tcPr>
          <w:p w14:paraId="3BD43823" w14:textId="193A1452" w:rsidR="003E7408" w:rsidRPr="003E7408" w:rsidRDefault="003E7408" w:rsidP="00307AF8">
            <w:pPr>
              <w:pStyle w:val="Body"/>
              <w:spacing w:before="120" w:after="120"/>
            </w:pPr>
            <w:r>
              <w:t>What is a risk register?</w:t>
            </w:r>
          </w:p>
        </w:tc>
        <w:tc>
          <w:tcPr>
            <w:tcW w:w="4819" w:type="dxa"/>
            <w:shd w:val="clear" w:color="auto" w:fill="E9E5E2"/>
          </w:tcPr>
          <w:p w14:paraId="1F6CBA6E" w14:textId="77777777" w:rsidR="003E7408" w:rsidRDefault="003E7408" w:rsidP="00307AF8">
            <w:pPr>
              <w:pStyle w:val="Body"/>
              <w:spacing w:before="120" w:after="120"/>
              <w:rPr>
                <w:rFonts w:cstheme="minorHAnsi"/>
              </w:rPr>
            </w:pPr>
            <w:r>
              <w:rPr>
                <w:rFonts w:cstheme="minorHAnsi"/>
              </w:rPr>
              <w:t>Refer to the VPDSF Glossary and VMIA Resources.</w:t>
            </w:r>
          </w:p>
          <w:p w14:paraId="577A6743" w14:textId="2938C70F" w:rsidR="003E7408" w:rsidRPr="003E7408" w:rsidRDefault="003E7408" w:rsidP="00307AF8">
            <w:pPr>
              <w:pStyle w:val="Body"/>
              <w:spacing w:before="120" w:after="120"/>
              <w:rPr>
                <w:rStyle w:val="Strong"/>
                <w:b w:val="0"/>
                <w:bCs w:val="0"/>
              </w:rPr>
            </w:pPr>
            <w:r>
              <w:rPr>
                <w:rFonts w:cstheme="minorHAnsi"/>
              </w:rPr>
              <w:t>A record of the results of information security risk assessments and treatment plans. This may take the form of a document, spreadsheet, software application.</w:t>
            </w:r>
          </w:p>
        </w:tc>
      </w:tr>
      <w:tr w:rsidR="003E7408" w14:paraId="1662564F" w14:textId="77777777" w:rsidTr="005E0CD6">
        <w:trPr>
          <w:cantSplit/>
        </w:trPr>
        <w:tc>
          <w:tcPr>
            <w:tcW w:w="4819" w:type="dxa"/>
            <w:tcBorders>
              <w:left w:val="nil"/>
            </w:tcBorders>
            <w:shd w:val="clear" w:color="auto" w:fill="E9E5E2"/>
          </w:tcPr>
          <w:p w14:paraId="0E35DC09" w14:textId="642A41DD" w:rsidR="003E7408" w:rsidRPr="003E7408" w:rsidRDefault="003E7408" w:rsidP="00307AF8">
            <w:pPr>
              <w:pStyle w:val="Body"/>
              <w:spacing w:before="120" w:after="120"/>
            </w:pPr>
            <w:r>
              <w:t>Define the word ‘regular’</w:t>
            </w:r>
          </w:p>
        </w:tc>
        <w:tc>
          <w:tcPr>
            <w:tcW w:w="4819" w:type="dxa"/>
            <w:shd w:val="clear" w:color="auto" w:fill="E9E5E2"/>
          </w:tcPr>
          <w:p w14:paraId="4347039C" w14:textId="02394DAA" w:rsidR="003E7408" w:rsidRPr="003E7408" w:rsidRDefault="003E7408" w:rsidP="00307AF8">
            <w:pPr>
              <w:pStyle w:val="Body"/>
              <w:spacing w:before="120" w:after="120"/>
              <w:rPr>
                <w:rStyle w:val="Strong"/>
                <w:b w:val="0"/>
                <w:bCs w:val="0"/>
              </w:rPr>
            </w:pPr>
            <w:r>
              <w:rPr>
                <w:lang w:eastAsia="en-AU"/>
              </w:rPr>
              <w:t>Updated to provide a nominal timeframe e.g. at least annually.</w:t>
            </w:r>
          </w:p>
        </w:tc>
      </w:tr>
      <w:tr w:rsidR="003E7408" w14:paraId="0C6B7696" w14:textId="77777777" w:rsidTr="005E0CD6">
        <w:trPr>
          <w:cantSplit/>
        </w:trPr>
        <w:tc>
          <w:tcPr>
            <w:tcW w:w="4819" w:type="dxa"/>
            <w:tcBorders>
              <w:left w:val="nil"/>
            </w:tcBorders>
            <w:shd w:val="clear" w:color="auto" w:fill="E9E5E2"/>
          </w:tcPr>
          <w:p w14:paraId="26FE05EE" w14:textId="442D9E57" w:rsidR="003E7408" w:rsidRPr="003E7408" w:rsidRDefault="003E7408" w:rsidP="00307AF8">
            <w:pPr>
              <w:pStyle w:val="Body"/>
              <w:spacing w:before="120" w:after="120"/>
            </w:pPr>
            <w:r>
              <w:t>Move the Information Security Value Standard up to Standard 2 for logical sequencing in line with the 5-step action plan of identify assets and value them before conducting a risk assessment.</w:t>
            </w:r>
          </w:p>
        </w:tc>
        <w:tc>
          <w:tcPr>
            <w:tcW w:w="4819" w:type="dxa"/>
            <w:shd w:val="clear" w:color="auto" w:fill="E9E5E2"/>
          </w:tcPr>
          <w:p w14:paraId="7A3633BB" w14:textId="6B65239C" w:rsidR="003E7408" w:rsidRPr="003E7408" w:rsidRDefault="003E7408" w:rsidP="00307AF8">
            <w:pPr>
              <w:pStyle w:val="Body"/>
              <w:spacing w:before="120" w:after="120"/>
              <w:rPr>
                <w:rStyle w:val="Strong"/>
                <w:b w:val="0"/>
                <w:bCs w:val="0"/>
              </w:rPr>
            </w:pPr>
            <w:r>
              <w:rPr>
                <w:lang w:eastAsia="en-AU"/>
              </w:rPr>
              <w:t>In the updated VPDSS, OVIC has moved the sequencing of this Standard for logical flow. It is now Standard 2.</w:t>
            </w:r>
          </w:p>
        </w:tc>
      </w:tr>
      <w:tr w:rsidR="003E7408" w14:paraId="3FB8AD8F" w14:textId="77777777" w:rsidTr="005E0CD6">
        <w:trPr>
          <w:cantSplit/>
        </w:trPr>
        <w:tc>
          <w:tcPr>
            <w:tcW w:w="4819" w:type="dxa"/>
            <w:tcBorders>
              <w:left w:val="nil"/>
            </w:tcBorders>
            <w:shd w:val="clear" w:color="auto" w:fill="E9E5E2"/>
          </w:tcPr>
          <w:p w14:paraId="5B0FD30D" w14:textId="25204E64" w:rsidR="003E7408" w:rsidRPr="003E7408" w:rsidRDefault="003E7408" w:rsidP="00307AF8">
            <w:pPr>
              <w:pStyle w:val="Body"/>
              <w:spacing w:before="120" w:after="120"/>
            </w:pPr>
            <w:r>
              <w:lastRenderedPageBreak/>
              <w:t>Should the Protective Data Security Plan (PDSP) be called an information security plan?</w:t>
            </w:r>
          </w:p>
        </w:tc>
        <w:tc>
          <w:tcPr>
            <w:tcW w:w="4819" w:type="dxa"/>
            <w:shd w:val="clear" w:color="auto" w:fill="E9E5E2"/>
          </w:tcPr>
          <w:p w14:paraId="092085C6" w14:textId="22140200" w:rsidR="003E7408" w:rsidRPr="003E7408" w:rsidRDefault="003E7408" w:rsidP="00307AF8">
            <w:pPr>
              <w:pStyle w:val="Body"/>
              <w:spacing w:before="120" w:after="120"/>
              <w:rPr>
                <w:rStyle w:val="Strong"/>
                <w:b w:val="0"/>
                <w:bCs w:val="0"/>
              </w:rPr>
            </w:pPr>
            <w:r>
              <w:rPr>
                <w:lang w:eastAsia="en-AU"/>
              </w:rPr>
              <w:t>Where changes to the term 'information security’ can be made they have been, however the PDSP is specifically described in legislation using these terms and, as such, has not been changed.</w:t>
            </w:r>
          </w:p>
        </w:tc>
      </w:tr>
      <w:tr w:rsidR="003E7408" w14:paraId="57285465" w14:textId="77777777" w:rsidTr="005E0CD6">
        <w:trPr>
          <w:cantSplit/>
        </w:trPr>
        <w:tc>
          <w:tcPr>
            <w:tcW w:w="4819" w:type="dxa"/>
            <w:tcBorders>
              <w:left w:val="nil"/>
            </w:tcBorders>
            <w:shd w:val="clear" w:color="auto" w:fill="E9E5E2"/>
          </w:tcPr>
          <w:p w14:paraId="615E28E7" w14:textId="5CA4CE8B" w:rsidR="003E7408" w:rsidRPr="003E7408" w:rsidRDefault="003E7408" w:rsidP="00307AF8">
            <w:pPr>
              <w:pStyle w:val="Body"/>
              <w:spacing w:before="120" w:after="120"/>
            </w:pPr>
            <w:r>
              <w:t>What does ‘regularly reviews its threat environment’ mean?</w:t>
            </w:r>
          </w:p>
        </w:tc>
        <w:tc>
          <w:tcPr>
            <w:tcW w:w="4819" w:type="dxa"/>
            <w:shd w:val="clear" w:color="auto" w:fill="E9E5E2"/>
          </w:tcPr>
          <w:p w14:paraId="794B92A3" w14:textId="77777777" w:rsidR="003E7408" w:rsidRDefault="003E7408" w:rsidP="00307AF8">
            <w:pPr>
              <w:pStyle w:val="Body"/>
              <w:spacing w:before="120" w:after="120"/>
              <w:rPr>
                <w:lang w:eastAsia="en-AU"/>
              </w:rPr>
            </w:pPr>
            <w:r>
              <w:rPr>
                <w:lang w:eastAsia="en-AU"/>
              </w:rPr>
              <w:t xml:space="preserve">This relates to keeping up to date with any: </w:t>
            </w:r>
          </w:p>
          <w:p w14:paraId="63457671" w14:textId="77777777" w:rsidR="003E7408" w:rsidRDefault="003E7408" w:rsidP="00307AF8">
            <w:pPr>
              <w:pStyle w:val="Body"/>
              <w:numPr>
                <w:ilvl w:val="0"/>
                <w:numId w:val="5"/>
              </w:numPr>
              <w:spacing w:before="120" w:after="120"/>
              <w:rPr>
                <w:lang w:eastAsia="en-AU"/>
              </w:rPr>
            </w:pPr>
            <w:r>
              <w:rPr>
                <w:lang w:eastAsia="en-AU"/>
              </w:rPr>
              <w:t xml:space="preserve">changes to the operating environment which may present opportunities for the organisation to be compromised; </w:t>
            </w:r>
          </w:p>
          <w:p w14:paraId="7ADDB75F" w14:textId="77777777" w:rsidR="003E7408" w:rsidRDefault="003E7408" w:rsidP="00307AF8">
            <w:pPr>
              <w:pStyle w:val="Body"/>
              <w:numPr>
                <w:ilvl w:val="0"/>
                <w:numId w:val="5"/>
              </w:numPr>
              <w:spacing w:before="120" w:after="120"/>
              <w:rPr>
                <w:lang w:eastAsia="en-AU"/>
              </w:rPr>
            </w:pPr>
            <w:r>
              <w:rPr>
                <w:lang w:eastAsia="en-AU"/>
              </w:rPr>
              <w:t>new vulnerabilities that may be exploited; and</w:t>
            </w:r>
          </w:p>
          <w:p w14:paraId="26D0AE0D" w14:textId="77777777" w:rsidR="003E7408" w:rsidRDefault="003E7408" w:rsidP="00307AF8">
            <w:pPr>
              <w:pStyle w:val="Body"/>
              <w:numPr>
                <w:ilvl w:val="0"/>
                <w:numId w:val="5"/>
              </w:numPr>
              <w:spacing w:before="120" w:after="120"/>
              <w:rPr>
                <w:lang w:eastAsia="en-AU"/>
              </w:rPr>
            </w:pPr>
            <w:r>
              <w:rPr>
                <w:lang w:eastAsia="en-AU"/>
              </w:rPr>
              <w:t xml:space="preserve">threat actors that the organisation should be aware of. </w:t>
            </w:r>
          </w:p>
          <w:p w14:paraId="2EB1E9FD" w14:textId="77777777" w:rsidR="003E7408" w:rsidRDefault="003E7408" w:rsidP="00307AF8">
            <w:pPr>
              <w:pStyle w:val="Body"/>
              <w:spacing w:before="120" w:after="120"/>
              <w:rPr>
                <w:lang w:eastAsia="en-AU"/>
              </w:rPr>
            </w:pPr>
            <w:r>
              <w:rPr>
                <w:lang w:eastAsia="en-AU"/>
              </w:rPr>
              <w:t xml:space="preserve">The organisation should monitor the risks to their information assets, to see if any changes are required to manage these. </w:t>
            </w:r>
          </w:p>
          <w:p w14:paraId="74540A9E" w14:textId="7A6A4A66" w:rsidR="003E7408" w:rsidRPr="003E7408" w:rsidRDefault="003E7408" w:rsidP="00307AF8">
            <w:pPr>
              <w:pStyle w:val="Body"/>
              <w:spacing w:before="120" w:after="120"/>
              <w:rPr>
                <w:rStyle w:val="Strong"/>
                <w:b w:val="0"/>
                <w:bCs w:val="0"/>
              </w:rPr>
            </w:pPr>
            <w:r>
              <w:rPr>
                <w:lang w:eastAsia="en-AU"/>
              </w:rPr>
              <w:t xml:space="preserve">In the updated VPDSS, this element has been removed, as it is implicitly covered as part of the organisation </w:t>
            </w:r>
            <w:r w:rsidRPr="003A601E">
              <w:rPr>
                <w:rFonts w:cstheme="minorHAnsi"/>
              </w:rPr>
              <w:t>monitor</w:t>
            </w:r>
            <w:r>
              <w:rPr>
                <w:rFonts w:cstheme="minorHAnsi"/>
              </w:rPr>
              <w:t>ing and</w:t>
            </w:r>
            <w:r w:rsidRPr="003A601E">
              <w:rPr>
                <w:rFonts w:cstheme="minorHAnsi"/>
              </w:rPr>
              <w:t xml:space="preserve"> review</w:t>
            </w:r>
            <w:r>
              <w:rPr>
                <w:rFonts w:cstheme="minorHAnsi"/>
              </w:rPr>
              <w:t>ing</w:t>
            </w:r>
            <w:r w:rsidRPr="003A601E">
              <w:rPr>
                <w:rFonts w:cstheme="minorHAnsi"/>
              </w:rPr>
              <w:t xml:space="preserve"> </w:t>
            </w:r>
            <w:r>
              <w:rPr>
                <w:rFonts w:cstheme="minorHAnsi"/>
              </w:rPr>
              <w:t>its</w:t>
            </w:r>
            <w:r w:rsidRPr="003A601E">
              <w:rPr>
                <w:rFonts w:cstheme="minorHAnsi"/>
              </w:rPr>
              <w:t xml:space="preserve"> </w:t>
            </w:r>
            <w:r>
              <w:rPr>
                <w:rFonts w:cstheme="minorHAnsi"/>
              </w:rPr>
              <w:t xml:space="preserve">information </w:t>
            </w:r>
            <w:r w:rsidRPr="003A601E">
              <w:rPr>
                <w:rFonts w:cstheme="minorHAnsi"/>
              </w:rPr>
              <w:t>security risk</w:t>
            </w:r>
            <w:r>
              <w:rPr>
                <w:rFonts w:cstheme="minorHAnsi"/>
              </w:rPr>
              <w:t>s.</w:t>
            </w:r>
          </w:p>
        </w:tc>
      </w:tr>
      <w:tr w:rsidR="003E7408" w14:paraId="396B7119" w14:textId="77777777" w:rsidTr="005E0CD6">
        <w:trPr>
          <w:cantSplit/>
        </w:trPr>
        <w:tc>
          <w:tcPr>
            <w:tcW w:w="4819" w:type="dxa"/>
            <w:tcBorders>
              <w:left w:val="nil"/>
            </w:tcBorders>
            <w:shd w:val="clear" w:color="auto" w:fill="E9E5E2"/>
          </w:tcPr>
          <w:p w14:paraId="48F1D54A" w14:textId="39949678" w:rsidR="003E7408" w:rsidRPr="003E7408" w:rsidRDefault="003E7408" w:rsidP="00307AF8">
            <w:pPr>
              <w:pStyle w:val="Body"/>
              <w:spacing w:before="120" w:after="120"/>
            </w:pPr>
            <w:r>
              <w:t>What does ‘track access to key/important information’ mean?</w:t>
            </w:r>
          </w:p>
        </w:tc>
        <w:tc>
          <w:tcPr>
            <w:tcW w:w="4819" w:type="dxa"/>
            <w:shd w:val="clear" w:color="auto" w:fill="E9E5E2"/>
          </w:tcPr>
          <w:p w14:paraId="5AB533CC" w14:textId="77777777" w:rsidR="003E7408" w:rsidRDefault="003E7408" w:rsidP="00307AF8">
            <w:pPr>
              <w:pStyle w:val="Body"/>
              <w:spacing w:before="120" w:after="120"/>
              <w:rPr>
                <w:lang w:eastAsia="en-AU"/>
              </w:rPr>
            </w:pPr>
            <w:r>
              <w:rPr>
                <w:lang w:eastAsia="en-AU"/>
              </w:rPr>
              <w:t>This relates to an organisation making sure they know the movements of their ‘crown jewels’ including where important key/ information is stored, who has access to it, etc.</w:t>
            </w:r>
          </w:p>
          <w:p w14:paraId="0090431D" w14:textId="749105FA" w:rsidR="003E7408" w:rsidRPr="003E7408" w:rsidRDefault="003E7408" w:rsidP="00307AF8">
            <w:pPr>
              <w:pStyle w:val="Body"/>
              <w:spacing w:before="120" w:after="120"/>
              <w:rPr>
                <w:rStyle w:val="Strong"/>
                <w:b w:val="0"/>
                <w:bCs w:val="0"/>
              </w:rPr>
            </w:pPr>
            <w:r>
              <w:rPr>
                <w:lang w:eastAsia="en-AU"/>
              </w:rPr>
              <w:t>In the updated VPDSS, this element has been removed at this time as part of this is covered through other elements such as information asset register and information sharing agreements.</w:t>
            </w:r>
          </w:p>
        </w:tc>
      </w:tr>
      <w:tr w:rsidR="003E7408" w14:paraId="4146EBBF" w14:textId="77777777" w:rsidTr="005E0CD6">
        <w:trPr>
          <w:cantSplit/>
        </w:trPr>
        <w:tc>
          <w:tcPr>
            <w:tcW w:w="4819" w:type="dxa"/>
            <w:tcBorders>
              <w:left w:val="nil"/>
            </w:tcBorders>
            <w:shd w:val="clear" w:color="auto" w:fill="E9E5E2"/>
          </w:tcPr>
          <w:p w14:paraId="3554A64C" w14:textId="52E750EF" w:rsidR="003E7408" w:rsidRPr="003E7408" w:rsidRDefault="003E7408" w:rsidP="00307AF8">
            <w:pPr>
              <w:pStyle w:val="Body"/>
              <w:spacing w:before="120" w:after="120"/>
            </w:pPr>
            <w:r>
              <w:lastRenderedPageBreak/>
              <w:t>What are physical and logical access controls?</w:t>
            </w:r>
          </w:p>
        </w:tc>
        <w:tc>
          <w:tcPr>
            <w:tcW w:w="4819" w:type="dxa"/>
            <w:shd w:val="clear" w:color="auto" w:fill="E9E5E2"/>
          </w:tcPr>
          <w:p w14:paraId="3DB358EC" w14:textId="77777777" w:rsidR="003E7408" w:rsidRDefault="003E7408" w:rsidP="00307AF8">
            <w:pPr>
              <w:pStyle w:val="Body"/>
              <w:spacing w:before="120" w:after="120"/>
              <w:rPr>
                <w:rFonts w:cstheme="minorHAnsi"/>
              </w:rPr>
            </w:pPr>
            <w:r>
              <w:rPr>
                <w:rFonts w:cstheme="minorHAnsi"/>
              </w:rPr>
              <w:t xml:space="preserve">In the updated VPDSS, examples have been added to these elements. They include: </w:t>
            </w:r>
          </w:p>
          <w:p w14:paraId="1B69EC1A" w14:textId="77777777" w:rsidR="003E7408" w:rsidRDefault="003E7408" w:rsidP="00307AF8">
            <w:pPr>
              <w:pStyle w:val="Body"/>
              <w:numPr>
                <w:ilvl w:val="0"/>
                <w:numId w:val="4"/>
              </w:numPr>
              <w:spacing w:before="120" w:after="120"/>
              <w:rPr>
                <w:rFonts w:cstheme="minorHAnsi"/>
              </w:rPr>
            </w:pPr>
            <w:r w:rsidRPr="00973A16">
              <w:rPr>
                <w:rFonts w:cstheme="minorHAnsi"/>
              </w:rPr>
              <w:t>physical access controls (e.g.</w:t>
            </w:r>
            <w:r>
              <w:rPr>
                <w:rFonts w:cstheme="minorHAnsi"/>
              </w:rPr>
              <w:t>,</w:t>
            </w:r>
            <w:r w:rsidRPr="00973A16">
              <w:rPr>
                <w:rFonts w:cstheme="minorHAnsi"/>
              </w:rPr>
              <w:t xml:space="preserve"> key management, swipe card access, visitor passes)</w:t>
            </w:r>
          </w:p>
          <w:p w14:paraId="0B7C7952" w14:textId="507E615C" w:rsidR="003E7408" w:rsidRPr="003E7408" w:rsidRDefault="003E7408" w:rsidP="00307AF8">
            <w:pPr>
              <w:pStyle w:val="Body"/>
              <w:numPr>
                <w:ilvl w:val="0"/>
                <w:numId w:val="4"/>
              </w:numPr>
              <w:spacing w:before="120" w:after="120"/>
              <w:rPr>
                <w:rStyle w:val="Strong"/>
                <w:rFonts w:cstheme="minorHAnsi"/>
                <w:b w:val="0"/>
                <w:bCs w:val="0"/>
              </w:rPr>
            </w:pPr>
            <w:r w:rsidRPr="003E7408">
              <w:rPr>
                <w:rFonts w:cstheme="minorHAnsi"/>
              </w:rPr>
              <w:t>logical access controls (e.g., network account, password, two-factor authentication)</w:t>
            </w:r>
          </w:p>
        </w:tc>
      </w:tr>
      <w:tr w:rsidR="003E7408" w14:paraId="008F65F3" w14:textId="77777777" w:rsidTr="005E0CD6">
        <w:trPr>
          <w:cantSplit/>
        </w:trPr>
        <w:tc>
          <w:tcPr>
            <w:tcW w:w="4819" w:type="dxa"/>
            <w:tcBorders>
              <w:left w:val="nil"/>
            </w:tcBorders>
            <w:shd w:val="clear" w:color="auto" w:fill="E9E5E2"/>
          </w:tcPr>
          <w:p w14:paraId="77890AB9" w14:textId="0F18CBFA" w:rsidR="003E7408" w:rsidRPr="003E7408" w:rsidRDefault="003E7408" w:rsidP="00307AF8">
            <w:pPr>
              <w:pStyle w:val="Body"/>
              <w:spacing w:before="120" w:after="120"/>
            </w:pPr>
            <w:r>
              <w:t>What do you mean by ‘all persons’?</w:t>
            </w:r>
          </w:p>
        </w:tc>
        <w:tc>
          <w:tcPr>
            <w:tcW w:w="4819" w:type="dxa"/>
            <w:shd w:val="clear" w:color="auto" w:fill="E9E5E2"/>
          </w:tcPr>
          <w:p w14:paraId="339C0059" w14:textId="77777777" w:rsidR="003E7408" w:rsidRDefault="003E7408" w:rsidP="00307AF8">
            <w:pPr>
              <w:pStyle w:val="Body"/>
              <w:spacing w:before="120" w:after="120"/>
              <w:rPr>
                <w:rFonts w:cstheme="minorHAnsi"/>
              </w:rPr>
            </w:pPr>
            <w:r>
              <w:rPr>
                <w:rFonts w:cstheme="minorHAnsi"/>
              </w:rPr>
              <w:t>Refer to the VPDSF Glossary.</w:t>
            </w:r>
          </w:p>
          <w:p w14:paraId="02C6187F" w14:textId="77777777" w:rsidR="003E7408" w:rsidRDefault="003E7408" w:rsidP="00307AF8">
            <w:pPr>
              <w:pStyle w:val="Body"/>
              <w:spacing w:before="120" w:after="120"/>
              <w:rPr>
                <w:rFonts w:cstheme="minorHAnsi"/>
              </w:rPr>
            </w:pPr>
            <w:r>
              <w:rPr>
                <w:rFonts w:cstheme="minorHAnsi"/>
              </w:rPr>
              <w:t>‘</w:t>
            </w:r>
            <w:r w:rsidRPr="00B94A80">
              <w:rPr>
                <w:rFonts w:cstheme="minorHAnsi"/>
              </w:rPr>
              <w:t>Employees, volunteers, contractors / sub</w:t>
            </w:r>
            <w:r>
              <w:rPr>
                <w:rFonts w:cstheme="minorHAnsi"/>
              </w:rPr>
              <w:t>-</w:t>
            </w:r>
            <w:r w:rsidRPr="00B94A80">
              <w:rPr>
                <w:rFonts w:cstheme="minorHAnsi"/>
              </w:rPr>
              <w:t>contractors and consultants (whether directly or indirectly engaged)</w:t>
            </w:r>
            <w:r>
              <w:rPr>
                <w:rFonts w:cstheme="minorHAnsi"/>
              </w:rPr>
              <w:t>’</w:t>
            </w:r>
          </w:p>
          <w:p w14:paraId="5F6D562A" w14:textId="04A68287" w:rsidR="003E7408" w:rsidRPr="003E7408" w:rsidRDefault="003E7408" w:rsidP="00307AF8">
            <w:pPr>
              <w:pStyle w:val="Body"/>
              <w:spacing w:before="120" w:after="120"/>
              <w:rPr>
                <w:rStyle w:val="Strong"/>
                <w:b w:val="0"/>
                <w:bCs w:val="0"/>
              </w:rPr>
            </w:pPr>
            <w:r>
              <w:rPr>
                <w:rFonts w:cstheme="minorHAnsi"/>
              </w:rPr>
              <w:t>This is purposefully drawn out because who has access to the organisation’s information goes beyond staff.</w:t>
            </w:r>
          </w:p>
        </w:tc>
      </w:tr>
      <w:tr w:rsidR="003E7408" w14:paraId="23FC84FC" w14:textId="77777777" w:rsidTr="005E0CD6">
        <w:trPr>
          <w:cantSplit/>
        </w:trPr>
        <w:tc>
          <w:tcPr>
            <w:tcW w:w="4819" w:type="dxa"/>
            <w:tcBorders>
              <w:left w:val="nil"/>
            </w:tcBorders>
            <w:shd w:val="clear" w:color="auto" w:fill="E9E5E2"/>
          </w:tcPr>
          <w:p w14:paraId="5C3E3433" w14:textId="4555DF8E" w:rsidR="003E7408" w:rsidRPr="003E7408" w:rsidRDefault="003E7408" w:rsidP="00307AF8">
            <w:pPr>
              <w:pStyle w:val="Body"/>
              <w:spacing w:before="120" w:after="120"/>
            </w:pPr>
            <w:r>
              <w:t xml:space="preserve">What is meant by </w:t>
            </w:r>
            <w:r>
              <w:rPr>
                <w:rFonts w:cstheme="minorHAnsi"/>
              </w:rPr>
              <w:t xml:space="preserve">information </w:t>
            </w:r>
            <w:r w:rsidRPr="003A601E">
              <w:rPr>
                <w:rFonts w:cstheme="minorHAnsi"/>
              </w:rPr>
              <w:t xml:space="preserve">security incident management covering </w:t>
            </w:r>
            <w:r w:rsidRPr="00F63137">
              <w:rPr>
                <w:rFonts w:cstheme="minorHAnsi"/>
              </w:rPr>
              <w:t xml:space="preserve">all security </w:t>
            </w:r>
            <w:r>
              <w:rPr>
                <w:rFonts w:cstheme="minorHAnsi"/>
              </w:rPr>
              <w:t>areas</w:t>
            </w:r>
            <w:r>
              <w:t>?</w:t>
            </w:r>
          </w:p>
        </w:tc>
        <w:tc>
          <w:tcPr>
            <w:tcW w:w="4819" w:type="dxa"/>
            <w:shd w:val="clear" w:color="auto" w:fill="E9E5E2"/>
          </w:tcPr>
          <w:p w14:paraId="02EA25FA" w14:textId="77777777" w:rsidR="003E7408" w:rsidRDefault="003E7408" w:rsidP="00307AF8">
            <w:pPr>
              <w:pStyle w:val="Body"/>
              <w:spacing w:before="120" w:after="120"/>
              <w:rPr>
                <w:lang w:eastAsia="en-AU"/>
              </w:rPr>
            </w:pPr>
            <w:r>
              <w:rPr>
                <w:lang w:eastAsia="en-AU"/>
              </w:rPr>
              <w:t xml:space="preserve">When implementing information security incident management consider beyond just incidents relating to ICT as incidents can extend to compromises of hard copy information or inappropriate verbal disclosure. </w:t>
            </w:r>
          </w:p>
          <w:p w14:paraId="59657313" w14:textId="6BBFA360" w:rsidR="003E7408" w:rsidRPr="003E7408" w:rsidRDefault="003E7408" w:rsidP="00307AF8">
            <w:pPr>
              <w:pStyle w:val="Body"/>
              <w:spacing w:before="120" w:after="120"/>
              <w:rPr>
                <w:rStyle w:val="Strong"/>
                <w:b w:val="0"/>
                <w:bCs w:val="0"/>
              </w:rPr>
            </w:pPr>
            <w:r>
              <w:rPr>
                <w:lang w:eastAsia="en-AU"/>
              </w:rPr>
              <w:t>It also acts as a prompt for organisations to consider controls to mitigate the reoccurrence  of the incident beyond ICT controls, considering other security areas of personnel security, physical security and ICT security.</w:t>
            </w:r>
          </w:p>
        </w:tc>
      </w:tr>
      <w:tr w:rsidR="00262FE3" w14:paraId="272AC129" w14:textId="77777777" w:rsidTr="005E0CD6">
        <w:trPr>
          <w:cantSplit/>
        </w:trPr>
        <w:tc>
          <w:tcPr>
            <w:tcW w:w="4819" w:type="dxa"/>
            <w:tcBorders>
              <w:left w:val="nil"/>
            </w:tcBorders>
            <w:shd w:val="clear" w:color="auto" w:fill="E9E5E2"/>
          </w:tcPr>
          <w:p w14:paraId="2CDCE455" w14:textId="74EAC1FA" w:rsidR="00262FE3" w:rsidRPr="003E7408" w:rsidRDefault="00262FE3" w:rsidP="00307AF8">
            <w:pPr>
              <w:pStyle w:val="Body"/>
              <w:spacing w:before="120" w:after="120"/>
            </w:pPr>
            <w:r>
              <w:t xml:space="preserve">Can you add more / change the incident </w:t>
            </w:r>
            <w:r w:rsidR="00F847D6">
              <w:t xml:space="preserve">management </w:t>
            </w:r>
            <w:r>
              <w:t>phases?</w:t>
            </w:r>
          </w:p>
        </w:tc>
        <w:tc>
          <w:tcPr>
            <w:tcW w:w="4819" w:type="dxa"/>
            <w:shd w:val="clear" w:color="auto" w:fill="E9E5E2"/>
          </w:tcPr>
          <w:p w14:paraId="66E317E4" w14:textId="76F1DB8F" w:rsidR="00262FE3" w:rsidRDefault="00262FE3" w:rsidP="00307AF8">
            <w:pPr>
              <w:pStyle w:val="BodyCopy"/>
              <w:spacing w:after="120" w:line="240" w:lineRule="auto"/>
              <w:rPr>
                <w:rFonts w:cstheme="minorHAnsi"/>
                <w:i/>
              </w:rPr>
            </w:pPr>
            <w:r w:rsidRPr="00EB103F">
              <w:rPr>
                <w:rFonts w:cstheme="minorHAnsi"/>
                <w:iCs/>
              </w:rPr>
              <w:t xml:space="preserve">The incident management phases follow the stages </w:t>
            </w:r>
            <w:r>
              <w:rPr>
                <w:rFonts w:cstheme="minorHAnsi"/>
                <w:iCs/>
              </w:rPr>
              <w:t xml:space="preserve">extracted from </w:t>
            </w:r>
            <w:r w:rsidRPr="00EB103F">
              <w:rPr>
                <w:rFonts w:cstheme="minorHAnsi"/>
                <w:iCs/>
              </w:rPr>
              <w:t xml:space="preserve">the Australian Standard </w:t>
            </w:r>
            <w:r w:rsidR="00F847D6">
              <w:rPr>
                <w:rFonts w:cstheme="minorHAnsi"/>
                <w:iCs/>
              </w:rPr>
              <w:t xml:space="preserve">primary source </w:t>
            </w:r>
            <w:r>
              <w:rPr>
                <w:rFonts w:cstheme="minorHAnsi"/>
                <w:i/>
              </w:rPr>
              <w:t xml:space="preserve">AS </w:t>
            </w:r>
            <w:r w:rsidRPr="003A601E">
              <w:rPr>
                <w:rFonts w:cstheme="minorHAnsi"/>
                <w:i/>
              </w:rPr>
              <w:t>ISO/IEC</w:t>
            </w:r>
            <w:r>
              <w:rPr>
                <w:rFonts w:cstheme="minorHAnsi"/>
                <w:i/>
              </w:rPr>
              <w:t xml:space="preserve"> </w:t>
            </w:r>
            <w:r w:rsidRPr="003A601E">
              <w:rPr>
                <w:rFonts w:cstheme="minorHAnsi"/>
                <w:i/>
              </w:rPr>
              <w:t>270</w:t>
            </w:r>
            <w:r>
              <w:rPr>
                <w:rFonts w:cstheme="minorHAnsi"/>
                <w:i/>
              </w:rPr>
              <w:t>35.1:2017 Information security incident management Part 1: Principles of incident management</w:t>
            </w:r>
          </w:p>
          <w:p w14:paraId="31305B49" w14:textId="31186A9C" w:rsidR="00262FE3" w:rsidRPr="003E7408" w:rsidRDefault="00262FE3" w:rsidP="00307AF8">
            <w:pPr>
              <w:pStyle w:val="Body"/>
              <w:spacing w:before="120" w:after="120"/>
              <w:rPr>
                <w:rStyle w:val="Strong"/>
                <w:b w:val="0"/>
                <w:bCs w:val="0"/>
              </w:rPr>
            </w:pPr>
            <w:r>
              <w:rPr>
                <w:rFonts w:cstheme="minorHAnsi"/>
                <w:iCs/>
              </w:rPr>
              <w:t>Organisations can add/change these phases as required to suit their environment.</w:t>
            </w:r>
          </w:p>
        </w:tc>
      </w:tr>
      <w:tr w:rsidR="00262FE3" w14:paraId="67EFD4F8" w14:textId="77777777" w:rsidTr="005E0CD6">
        <w:trPr>
          <w:cantSplit/>
        </w:trPr>
        <w:tc>
          <w:tcPr>
            <w:tcW w:w="4819" w:type="dxa"/>
            <w:tcBorders>
              <w:left w:val="nil"/>
            </w:tcBorders>
            <w:shd w:val="clear" w:color="auto" w:fill="E9E5E2"/>
          </w:tcPr>
          <w:p w14:paraId="018328E9" w14:textId="6369A64E" w:rsidR="00262FE3" w:rsidRPr="003E7408" w:rsidRDefault="00262FE3" w:rsidP="00307AF8">
            <w:pPr>
              <w:pStyle w:val="Body"/>
              <w:spacing w:before="120" w:after="120"/>
            </w:pPr>
            <w:r>
              <w:lastRenderedPageBreak/>
              <w:t>Define ‘third party’</w:t>
            </w:r>
          </w:p>
        </w:tc>
        <w:tc>
          <w:tcPr>
            <w:tcW w:w="4819" w:type="dxa"/>
            <w:shd w:val="clear" w:color="auto" w:fill="E9E5E2"/>
          </w:tcPr>
          <w:p w14:paraId="10BEA1EA" w14:textId="77777777" w:rsidR="00262FE3" w:rsidRDefault="00262FE3" w:rsidP="00307AF8">
            <w:pPr>
              <w:pStyle w:val="Body"/>
              <w:spacing w:before="120" w:after="120"/>
              <w:rPr>
                <w:lang w:eastAsia="en-AU"/>
              </w:rPr>
            </w:pPr>
            <w:r>
              <w:rPr>
                <w:lang w:eastAsia="en-AU"/>
              </w:rPr>
              <w:t>Refer to the VPDSF Glossary.</w:t>
            </w:r>
          </w:p>
          <w:p w14:paraId="1FC51CD5" w14:textId="7C564D2B" w:rsidR="00262FE3" w:rsidRPr="003E7408" w:rsidRDefault="00262FE3" w:rsidP="00307AF8">
            <w:pPr>
              <w:pStyle w:val="Body"/>
              <w:spacing w:before="120" w:after="120"/>
              <w:rPr>
                <w:rStyle w:val="Strong"/>
                <w:b w:val="0"/>
                <w:bCs w:val="0"/>
              </w:rPr>
            </w:pPr>
            <w:r>
              <w:rPr>
                <w:lang w:eastAsia="en-AU"/>
              </w:rPr>
              <w:t>This includes any external party outside of the organisation and can be another government organisation or a contracted service provider.</w:t>
            </w:r>
          </w:p>
        </w:tc>
      </w:tr>
      <w:tr w:rsidR="00262FE3" w14:paraId="43E6D72D" w14:textId="77777777" w:rsidTr="005E0CD6">
        <w:trPr>
          <w:cantSplit/>
        </w:trPr>
        <w:tc>
          <w:tcPr>
            <w:tcW w:w="4819" w:type="dxa"/>
            <w:tcBorders>
              <w:left w:val="nil"/>
            </w:tcBorders>
            <w:shd w:val="clear" w:color="auto" w:fill="E9E5E2"/>
          </w:tcPr>
          <w:p w14:paraId="209211C1" w14:textId="671DF026" w:rsidR="00262FE3" w:rsidRPr="003E7408" w:rsidRDefault="00262FE3" w:rsidP="00307AF8">
            <w:pPr>
              <w:pStyle w:val="Body"/>
              <w:spacing w:before="120" w:after="120"/>
            </w:pPr>
            <w:r>
              <w:t>Under the third-party arrangements Standard, why were these terms ‘</w:t>
            </w:r>
            <w:r>
              <w:rPr>
                <w:rFonts w:cstheme="minorHAnsi"/>
                <w:lang w:eastAsia="en-AU"/>
              </w:rPr>
              <w:t>collect, hold, manage, use, disclose or transfer</w:t>
            </w:r>
            <w:r>
              <w:t>’ listed and not others?</w:t>
            </w:r>
          </w:p>
        </w:tc>
        <w:tc>
          <w:tcPr>
            <w:tcW w:w="4819" w:type="dxa"/>
            <w:shd w:val="clear" w:color="auto" w:fill="E9E5E2"/>
          </w:tcPr>
          <w:p w14:paraId="1EBFECA9" w14:textId="15DB6F8C" w:rsidR="00262FE3" w:rsidRPr="003E7408" w:rsidRDefault="00262FE3" w:rsidP="00307AF8">
            <w:pPr>
              <w:pStyle w:val="Body"/>
              <w:spacing w:before="120" w:after="120"/>
              <w:rPr>
                <w:rStyle w:val="Strong"/>
                <w:b w:val="0"/>
                <w:bCs w:val="0"/>
              </w:rPr>
            </w:pPr>
            <w:r w:rsidRPr="00485D35">
              <w:rPr>
                <w:lang w:eastAsia="en-AU"/>
              </w:rPr>
              <w:t xml:space="preserve">These </w:t>
            </w:r>
            <w:r>
              <w:rPr>
                <w:lang w:eastAsia="en-AU"/>
              </w:rPr>
              <w:t xml:space="preserve">terms </w:t>
            </w:r>
            <w:r w:rsidRPr="00485D35">
              <w:rPr>
                <w:lang w:eastAsia="en-AU"/>
              </w:rPr>
              <w:t>are straight out of the definitions in the PDP Act under the term 'handling' on page 5.</w:t>
            </w:r>
          </w:p>
        </w:tc>
      </w:tr>
      <w:tr w:rsidR="00262FE3" w14:paraId="5359B534" w14:textId="77777777" w:rsidTr="005E0CD6">
        <w:trPr>
          <w:cantSplit/>
        </w:trPr>
        <w:tc>
          <w:tcPr>
            <w:tcW w:w="4819" w:type="dxa"/>
            <w:tcBorders>
              <w:left w:val="nil"/>
            </w:tcBorders>
            <w:shd w:val="clear" w:color="auto" w:fill="E9E5E2"/>
          </w:tcPr>
          <w:p w14:paraId="1B162A71" w14:textId="0292DEA4" w:rsidR="00262FE3" w:rsidRPr="003E7408" w:rsidRDefault="00262FE3" w:rsidP="00307AF8">
            <w:pPr>
              <w:pStyle w:val="Body"/>
              <w:spacing w:before="120" w:after="120"/>
            </w:pPr>
            <w:r>
              <w:t>Under the third-party arrangements Standard, reconsider the term ‘ensures’ a third party securely handles information.</w:t>
            </w:r>
          </w:p>
        </w:tc>
        <w:tc>
          <w:tcPr>
            <w:tcW w:w="4819" w:type="dxa"/>
            <w:shd w:val="clear" w:color="auto" w:fill="E9E5E2"/>
          </w:tcPr>
          <w:p w14:paraId="1E530A54" w14:textId="77777777" w:rsidR="00262FE3" w:rsidRDefault="00262FE3" w:rsidP="00307AF8">
            <w:pPr>
              <w:pStyle w:val="Body"/>
              <w:spacing w:before="120" w:after="120"/>
              <w:rPr>
                <w:lang w:eastAsia="en-AU"/>
              </w:rPr>
            </w:pPr>
            <w:r>
              <w:rPr>
                <w:lang w:eastAsia="en-AU"/>
              </w:rPr>
              <w:t>This term is c</w:t>
            </w:r>
            <w:r w:rsidRPr="00066E5B">
              <w:rPr>
                <w:lang w:eastAsia="en-AU"/>
              </w:rPr>
              <w:t>onsi</w:t>
            </w:r>
            <w:r>
              <w:rPr>
                <w:lang w:eastAsia="en-AU"/>
              </w:rPr>
              <w:t>s</w:t>
            </w:r>
            <w:r w:rsidRPr="00066E5B">
              <w:rPr>
                <w:lang w:eastAsia="en-AU"/>
              </w:rPr>
              <w:t>tent with Part 4 of PDP</w:t>
            </w:r>
            <w:r>
              <w:rPr>
                <w:lang w:eastAsia="en-AU"/>
              </w:rPr>
              <w:t xml:space="preserve"> </w:t>
            </w:r>
            <w:r w:rsidRPr="00066E5B">
              <w:rPr>
                <w:lang w:eastAsia="en-AU"/>
              </w:rPr>
              <w:t>A</w:t>
            </w:r>
            <w:r>
              <w:rPr>
                <w:lang w:eastAsia="en-AU"/>
              </w:rPr>
              <w:t>ct</w:t>
            </w:r>
            <w:r w:rsidRPr="00066E5B">
              <w:rPr>
                <w:lang w:eastAsia="en-AU"/>
              </w:rPr>
              <w:t xml:space="preserve"> which states 'ensure'</w:t>
            </w:r>
          </w:p>
          <w:p w14:paraId="3C66EB32" w14:textId="72C00264" w:rsidR="00262FE3" w:rsidRPr="003E7408" w:rsidRDefault="00262FE3" w:rsidP="00307AF8">
            <w:pPr>
              <w:pStyle w:val="Body"/>
              <w:spacing w:before="120" w:after="120"/>
              <w:rPr>
                <w:rStyle w:val="Strong"/>
                <w:b w:val="0"/>
                <w:bCs w:val="0"/>
              </w:rPr>
            </w:pPr>
            <w:r w:rsidRPr="00485D35">
              <w:rPr>
                <w:lang w:eastAsia="en-AU"/>
              </w:rPr>
              <w:t xml:space="preserve">As per Part 4 of PDPA the onus rests on </w:t>
            </w:r>
            <w:r>
              <w:rPr>
                <w:lang w:eastAsia="en-AU"/>
              </w:rPr>
              <w:t xml:space="preserve">the </w:t>
            </w:r>
            <w:r w:rsidRPr="00485D35">
              <w:rPr>
                <w:lang w:eastAsia="en-AU"/>
              </w:rPr>
              <w:t>agency head</w:t>
            </w:r>
            <w:r>
              <w:rPr>
                <w:lang w:eastAsia="en-AU"/>
              </w:rPr>
              <w:t>.</w:t>
            </w:r>
          </w:p>
        </w:tc>
      </w:tr>
      <w:tr w:rsidR="00262FE3" w14:paraId="5B1576E2" w14:textId="77777777" w:rsidTr="005E0CD6">
        <w:trPr>
          <w:cantSplit/>
        </w:trPr>
        <w:tc>
          <w:tcPr>
            <w:tcW w:w="4819" w:type="dxa"/>
            <w:tcBorders>
              <w:left w:val="nil"/>
            </w:tcBorders>
            <w:shd w:val="clear" w:color="auto" w:fill="E9E5E2"/>
          </w:tcPr>
          <w:p w14:paraId="41297BB0" w14:textId="0E0CF1C5" w:rsidR="00262FE3" w:rsidRDefault="00262FE3" w:rsidP="00307AF8">
            <w:pPr>
              <w:pStyle w:val="Body"/>
              <w:spacing w:before="120" w:after="120"/>
            </w:pPr>
            <w:r>
              <w:t>Is the term ‘official information’ only related to information assessed at business impact level (BIL) 2?</w:t>
            </w:r>
          </w:p>
        </w:tc>
        <w:tc>
          <w:tcPr>
            <w:tcW w:w="4819" w:type="dxa"/>
            <w:shd w:val="clear" w:color="auto" w:fill="E9E5E2"/>
          </w:tcPr>
          <w:p w14:paraId="3D75A94C" w14:textId="77777777" w:rsidR="00262FE3" w:rsidRDefault="00262FE3" w:rsidP="00307AF8">
            <w:pPr>
              <w:pStyle w:val="Body"/>
              <w:spacing w:before="120" w:after="120"/>
              <w:rPr>
                <w:lang w:eastAsia="en-AU"/>
              </w:rPr>
            </w:pPr>
            <w:r>
              <w:rPr>
                <w:lang w:eastAsia="en-AU"/>
              </w:rPr>
              <w:t xml:space="preserve">With the recent protective marking reforms and the introduction of the ‘OFFICIAL’ protective marking, this has generated some confusion around whether the VPDSS relates to all forms of official information or just information assessed at the OFFICIAL protective marking level. </w:t>
            </w:r>
          </w:p>
          <w:p w14:paraId="65EC9CAD" w14:textId="77777777" w:rsidR="00262FE3" w:rsidRDefault="00262FE3" w:rsidP="00307AF8">
            <w:pPr>
              <w:pStyle w:val="Body"/>
              <w:spacing w:before="120" w:after="120"/>
              <w:rPr>
                <w:lang w:eastAsia="en-AU"/>
              </w:rPr>
            </w:pPr>
            <w:r>
              <w:rPr>
                <w:lang w:eastAsia="en-AU"/>
              </w:rPr>
              <w:t xml:space="preserve">The VPDSS applies to ALL public sector information handled by organisations to which Part 4 of the PDP Act applies regardless of protective marking. </w:t>
            </w:r>
          </w:p>
          <w:p w14:paraId="6F7AF4FD" w14:textId="41439168" w:rsidR="00262FE3" w:rsidRDefault="00262FE3" w:rsidP="00307AF8">
            <w:pPr>
              <w:pStyle w:val="Body"/>
              <w:spacing w:before="120" w:after="120"/>
              <w:rPr>
                <w:lang w:eastAsia="en-AU"/>
              </w:rPr>
            </w:pPr>
            <w:r>
              <w:rPr>
                <w:lang w:eastAsia="en-AU"/>
              </w:rPr>
              <w:t xml:space="preserve">In the updated VPDSS, the term ‘official information’ has been replaced with ‘public sector information’ to address this. </w:t>
            </w:r>
          </w:p>
        </w:tc>
      </w:tr>
      <w:tr w:rsidR="00262FE3" w14:paraId="24254009" w14:textId="77777777" w:rsidTr="005E0CD6">
        <w:trPr>
          <w:cantSplit/>
        </w:trPr>
        <w:tc>
          <w:tcPr>
            <w:tcW w:w="4819" w:type="dxa"/>
            <w:tcBorders>
              <w:left w:val="nil"/>
            </w:tcBorders>
            <w:shd w:val="clear" w:color="auto" w:fill="E9E5E2"/>
          </w:tcPr>
          <w:p w14:paraId="4831EF2A" w14:textId="21A3C778" w:rsidR="00262FE3" w:rsidRDefault="00262FE3" w:rsidP="00307AF8">
            <w:pPr>
              <w:pStyle w:val="Body"/>
              <w:spacing w:before="120" w:after="120"/>
            </w:pPr>
            <w:r>
              <w:lastRenderedPageBreak/>
              <w:t>What do you mean by the term ‘information release’?</w:t>
            </w:r>
          </w:p>
        </w:tc>
        <w:tc>
          <w:tcPr>
            <w:tcW w:w="4819" w:type="dxa"/>
            <w:shd w:val="clear" w:color="auto" w:fill="E9E5E2"/>
          </w:tcPr>
          <w:p w14:paraId="582E2696" w14:textId="77777777" w:rsidR="00262FE3" w:rsidRDefault="00262FE3" w:rsidP="00307AF8">
            <w:pPr>
              <w:pStyle w:val="Body"/>
              <w:spacing w:before="120" w:after="120"/>
              <w:rPr>
                <w:rFonts w:cstheme="minorHAnsi"/>
              </w:rPr>
            </w:pPr>
            <w:r>
              <w:rPr>
                <w:rFonts w:cstheme="minorHAnsi"/>
              </w:rPr>
              <w:t>Refer to the VPDSF Glossary.</w:t>
            </w:r>
          </w:p>
          <w:p w14:paraId="7D8B203B" w14:textId="77777777" w:rsidR="00262FE3" w:rsidRDefault="00262FE3" w:rsidP="00307AF8">
            <w:pPr>
              <w:pStyle w:val="Body"/>
              <w:spacing w:before="120" w:after="120"/>
              <w:rPr>
                <w:rFonts w:cstheme="minorHAnsi"/>
              </w:rPr>
            </w:pPr>
            <w:r>
              <w:rPr>
                <w:rFonts w:cstheme="minorHAnsi"/>
              </w:rPr>
              <w:t xml:space="preserve">Information release refers to where the organisation has authorised the uncontrolled dissemination of their information, or publication on various public platforms e.g. website, </w:t>
            </w:r>
            <w:r w:rsidRPr="00C425FA">
              <w:rPr>
                <w:rFonts w:cstheme="minorHAnsi"/>
              </w:rPr>
              <w:t>social media</w:t>
            </w:r>
            <w:r>
              <w:rPr>
                <w:rFonts w:cstheme="minorHAnsi"/>
              </w:rPr>
              <w:t>,</w:t>
            </w:r>
            <w:r w:rsidRPr="00C425FA">
              <w:rPr>
                <w:rFonts w:cstheme="minorHAnsi"/>
              </w:rPr>
              <w:t xml:space="preserve"> news</w:t>
            </w:r>
            <w:r>
              <w:rPr>
                <w:rFonts w:cstheme="minorHAnsi"/>
              </w:rPr>
              <w:t xml:space="preserve">, </w:t>
            </w:r>
            <w:proofErr w:type="spellStart"/>
            <w:r>
              <w:rPr>
                <w:rFonts w:cstheme="minorHAnsi"/>
              </w:rPr>
              <w:t>DataVic</w:t>
            </w:r>
            <w:proofErr w:type="spellEnd"/>
            <w:r>
              <w:rPr>
                <w:rFonts w:cstheme="minorHAnsi"/>
              </w:rPr>
              <w:t xml:space="preserve">. </w:t>
            </w:r>
          </w:p>
          <w:p w14:paraId="5D606C2C" w14:textId="67EFEB1A" w:rsidR="00262FE3" w:rsidRDefault="00262FE3" w:rsidP="00307AF8">
            <w:pPr>
              <w:pStyle w:val="Body"/>
              <w:spacing w:before="120" w:after="120"/>
              <w:rPr>
                <w:rFonts w:cstheme="minorHAnsi"/>
              </w:rPr>
            </w:pPr>
            <w:r>
              <w:rPr>
                <w:rFonts w:cstheme="minorHAnsi"/>
              </w:rPr>
              <w:t>Information release (where you release control of what is done with the information) differ</w:t>
            </w:r>
            <w:r w:rsidR="00336EDB">
              <w:rPr>
                <w:rFonts w:cstheme="minorHAnsi"/>
              </w:rPr>
              <w:t>s from information sharing which involves some form of control.</w:t>
            </w:r>
            <w:r>
              <w:rPr>
                <w:rFonts w:cstheme="minorHAnsi"/>
              </w:rPr>
              <w:t xml:space="preserve"> </w:t>
            </w:r>
            <w:r w:rsidR="00336EDB">
              <w:rPr>
                <w:rFonts w:cstheme="minorHAnsi"/>
              </w:rPr>
              <w:t>I</w:t>
            </w:r>
            <w:r>
              <w:rPr>
                <w:rFonts w:cstheme="minorHAnsi"/>
              </w:rPr>
              <w:t>nformation sharing</w:t>
            </w:r>
            <w:r w:rsidR="00336EDB">
              <w:rPr>
                <w:rFonts w:cstheme="minorHAnsi"/>
              </w:rPr>
              <w:t xml:space="preserve"> is</w:t>
            </w:r>
            <w:r>
              <w:rPr>
                <w:rFonts w:cstheme="minorHAnsi"/>
              </w:rPr>
              <w:t xml:space="preserve"> where the owning organisation identifies the handling </w:t>
            </w:r>
            <w:r w:rsidR="00336EDB">
              <w:rPr>
                <w:rFonts w:cstheme="minorHAnsi"/>
              </w:rPr>
              <w:t xml:space="preserve">requirements that </w:t>
            </w:r>
            <w:r>
              <w:rPr>
                <w:rFonts w:cstheme="minorHAnsi"/>
              </w:rPr>
              <w:t xml:space="preserve">the receiving organisation must follow in order to provide the information owner with assurance that the information is handled as they would expect. </w:t>
            </w:r>
          </w:p>
          <w:p w14:paraId="3EB0EA9C" w14:textId="7F934F19" w:rsidR="00262FE3" w:rsidRDefault="00262FE3" w:rsidP="00307AF8">
            <w:pPr>
              <w:pStyle w:val="Body"/>
              <w:spacing w:before="120" w:after="120"/>
              <w:rPr>
                <w:lang w:eastAsia="en-AU"/>
              </w:rPr>
            </w:pPr>
            <w:r>
              <w:t xml:space="preserve">Prior to </w:t>
            </w:r>
            <w:r w:rsidR="00336EDB">
              <w:t>releasing or sharing</w:t>
            </w:r>
            <w:r>
              <w:t xml:space="preserve"> information, organisations should conduct a risk assessment. </w:t>
            </w:r>
          </w:p>
        </w:tc>
      </w:tr>
      <w:tr w:rsidR="00262FE3" w14:paraId="01B86C63" w14:textId="77777777" w:rsidTr="005E0CD6">
        <w:trPr>
          <w:cantSplit/>
        </w:trPr>
        <w:tc>
          <w:tcPr>
            <w:tcW w:w="4819" w:type="dxa"/>
            <w:tcBorders>
              <w:left w:val="nil"/>
            </w:tcBorders>
            <w:shd w:val="clear" w:color="auto" w:fill="E9E5E2"/>
          </w:tcPr>
          <w:p w14:paraId="48C9D40F" w14:textId="38CB7BA8" w:rsidR="00262FE3" w:rsidRDefault="00262FE3" w:rsidP="00307AF8">
            <w:pPr>
              <w:pStyle w:val="Body"/>
              <w:spacing w:before="120" w:after="120"/>
            </w:pPr>
            <w:r>
              <w:t>Is there a duplication of incident notification between OVIC and DPC Cyber Incident Response Service (CIRS)?</w:t>
            </w:r>
          </w:p>
        </w:tc>
        <w:tc>
          <w:tcPr>
            <w:tcW w:w="4819" w:type="dxa"/>
            <w:shd w:val="clear" w:color="auto" w:fill="E9E5E2"/>
          </w:tcPr>
          <w:p w14:paraId="07CBDEE8" w14:textId="77777777" w:rsidR="00262FE3" w:rsidRDefault="00262FE3" w:rsidP="00307AF8">
            <w:pPr>
              <w:pStyle w:val="Body"/>
              <w:spacing w:before="120" w:after="120"/>
              <w:rPr>
                <w:lang w:eastAsia="en-AU"/>
              </w:rPr>
            </w:pPr>
            <w:r>
              <w:rPr>
                <w:lang w:eastAsia="en-AU"/>
              </w:rPr>
              <w:t>No, there are some differences between the two.</w:t>
            </w:r>
          </w:p>
          <w:p w14:paraId="333316B7" w14:textId="77777777" w:rsidR="00262FE3" w:rsidRDefault="00262FE3" w:rsidP="00307AF8">
            <w:pPr>
              <w:pStyle w:val="Body"/>
              <w:spacing w:before="120" w:after="120"/>
              <w:rPr>
                <w:lang w:eastAsia="en-AU"/>
              </w:rPr>
            </w:pPr>
            <w:r>
              <w:rPr>
                <w:lang w:eastAsia="en-AU"/>
              </w:rPr>
              <w:t>Notification to OVIC relates to:</w:t>
            </w:r>
          </w:p>
          <w:p w14:paraId="49FB394E" w14:textId="77777777" w:rsidR="00262FE3" w:rsidRDefault="00262FE3" w:rsidP="00307AF8">
            <w:pPr>
              <w:pStyle w:val="Body"/>
              <w:numPr>
                <w:ilvl w:val="0"/>
                <w:numId w:val="2"/>
              </w:numPr>
              <w:spacing w:before="120" w:after="120"/>
              <w:rPr>
                <w:lang w:eastAsia="en-AU"/>
              </w:rPr>
            </w:pPr>
            <w:r>
              <w:rPr>
                <w:lang w:eastAsia="en-AU"/>
              </w:rPr>
              <w:t>organisations to which Part 4 of the PDP Act applies, and</w:t>
            </w:r>
          </w:p>
          <w:p w14:paraId="45D24279" w14:textId="77777777" w:rsidR="00262FE3" w:rsidRDefault="00262FE3" w:rsidP="00307AF8">
            <w:pPr>
              <w:pStyle w:val="Body"/>
              <w:numPr>
                <w:ilvl w:val="0"/>
                <w:numId w:val="2"/>
              </w:numPr>
              <w:spacing w:before="120" w:after="120"/>
              <w:rPr>
                <w:lang w:eastAsia="en-AU"/>
              </w:rPr>
            </w:pPr>
            <w:r>
              <w:rPr>
                <w:lang w:eastAsia="en-AU"/>
              </w:rPr>
              <w:t>all information regardless or format i.e. hard copy, electronic, verbal.</w:t>
            </w:r>
          </w:p>
          <w:p w14:paraId="2E4CED55" w14:textId="77777777" w:rsidR="00262FE3" w:rsidRDefault="00262FE3" w:rsidP="00307AF8">
            <w:pPr>
              <w:pStyle w:val="Body"/>
              <w:spacing w:before="120" w:after="120"/>
              <w:rPr>
                <w:lang w:eastAsia="en-AU"/>
              </w:rPr>
            </w:pPr>
            <w:r>
              <w:rPr>
                <w:lang w:eastAsia="en-AU"/>
              </w:rPr>
              <w:t>Notification to CIRS relates to:</w:t>
            </w:r>
          </w:p>
          <w:p w14:paraId="58399365" w14:textId="77777777" w:rsidR="00262FE3" w:rsidRDefault="00262FE3" w:rsidP="00307AF8">
            <w:pPr>
              <w:pStyle w:val="Body"/>
              <w:numPr>
                <w:ilvl w:val="0"/>
                <w:numId w:val="3"/>
              </w:numPr>
              <w:spacing w:before="120" w:after="120"/>
              <w:rPr>
                <w:lang w:eastAsia="en-AU"/>
              </w:rPr>
            </w:pPr>
            <w:r>
              <w:rPr>
                <w:lang w:eastAsia="en-AU"/>
              </w:rPr>
              <w:t>cyber (electronic information) incidents, and</w:t>
            </w:r>
          </w:p>
          <w:p w14:paraId="33D86867" w14:textId="77777777" w:rsidR="00262FE3" w:rsidRDefault="00262FE3" w:rsidP="00307AF8">
            <w:pPr>
              <w:pStyle w:val="Body"/>
              <w:numPr>
                <w:ilvl w:val="0"/>
                <w:numId w:val="3"/>
              </w:numPr>
              <w:spacing w:before="120" w:after="120"/>
              <w:rPr>
                <w:lang w:eastAsia="en-AU"/>
              </w:rPr>
            </w:pPr>
            <w:r>
              <w:rPr>
                <w:lang w:eastAsia="en-AU"/>
              </w:rPr>
              <w:t xml:space="preserve">any VPS organisation who requires incident </w:t>
            </w:r>
            <w:r w:rsidRPr="00845953">
              <w:rPr>
                <w:b/>
                <w:bCs/>
                <w:lang w:eastAsia="en-AU"/>
              </w:rPr>
              <w:t>response</w:t>
            </w:r>
            <w:r>
              <w:rPr>
                <w:lang w:eastAsia="en-AU"/>
              </w:rPr>
              <w:t xml:space="preserve"> assistance.</w:t>
            </w:r>
          </w:p>
          <w:p w14:paraId="01D9204A" w14:textId="4A5DA270" w:rsidR="00262FE3" w:rsidRDefault="00262FE3" w:rsidP="00307AF8">
            <w:pPr>
              <w:pStyle w:val="Body"/>
              <w:spacing w:before="120" w:after="120"/>
              <w:rPr>
                <w:lang w:eastAsia="en-AU"/>
              </w:rPr>
            </w:pPr>
            <w:r>
              <w:rPr>
                <w:lang w:eastAsia="en-AU"/>
              </w:rPr>
              <w:t>OVIC and CIRS is in the process of developing a</w:t>
            </w:r>
            <w:r w:rsidR="00336EDB">
              <w:rPr>
                <w:lang w:eastAsia="en-AU"/>
              </w:rPr>
              <w:t xml:space="preserve"> Memorandum of Understanding (MOU) </w:t>
            </w:r>
            <w:r>
              <w:rPr>
                <w:lang w:eastAsia="en-AU"/>
              </w:rPr>
              <w:t xml:space="preserve">to enable the sharing of incident information where possible to minimise the reporting burden of organisations. </w:t>
            </w:r>
          </w:p>
        </w:tc>
      </w:tr>
      <w:tr w:rsidR="00262FE3" w14:paraId="5462AE56" w14:textId="77777777" w:rsidTr="005E0CD6">
        <w:trPr>
          <w:cantSplit/>
        </w:trPr>
        <w:tc>
          <w:tcPr>
            <w:tcW w:w="4819" w:type="dxa"/>
            <w:tcBorders>
              <w:left w:val="nil"/>
            </w:tcBorders>
            <w:shd w:val="clear" w:color="auto" w:fill="E9E5E2"/>
          </w:tcPr>
          <w:p w14:paraId="26B9F7C9" w14:textId="7153A0D0" w:rsidR="00262FE3" w:rsidRPr="003E7408" w:rsidRDefault="00262FE3" w:rsidP="00307AF8">
            <w:pPr>
              <w:pStyle w:val="Body"/>
              <w:spacing w:before="120" w:after="120"/>
            </w:pPr>
            <w:r>
              <w:lastRenderedPageBreak/>
              <w:t>What is considered ‘significant change’?</w:t>
            </w:r>
          </w:p>
        </w:tc>
        <w:tc>
          <w:tcPr>
            <w:tcW w:w="4819" w:type="dxa"/>
            <w:shd w:val="clear" w:color="auto" w:fill="E9E5E2"/>
          </w:tcPr>
          <w:p w14:paraId="368EFD8D" w14:textId="77777777" w:rsidR="00262FE3" w:rsidRDefault="00262FE3" w:rsidP="00307AF8">
            <w:pPr>
              <w:pStyle w:val="Body"/>
              <w:spacing w:before="120" w:after="120"/>
              <w:rPr>
                <w:lang w:eastAsia="en-AU"/>
              </w:rPr>
            </w:pPr>
            <w:r>
              <w:rPr>
                <w:lang w:eastAsia="en-AU"/>
              </w:rPr>
              <w:t>Refer to the VPDSF Glossary.</w:t>
            </w:r>
          </w:p>
          <w:p w14:paraId="4763A2A0" w14:textId="4A43BDF4" w:rsidR="00262FE3" w:rsidRPr="003E7408" w:rsidRDefault="00262FE3" w:rsidP="00307AF8">
            <w:pPr>
              <w:pStyle w:val="Body"/>
              <w:spacing w:before="120" w:after="120"/>
              <w:rPr>
                <w:rStyle w:val="Strong"/>
                <w:b w:val="0"/>
                <w:bCs w:val="0"/>
              </w:rPr>
            </w:pPr>
            <w:r>
              <w:rPr>
                <w:lang w:eastAsia="en-AU"/>
              </w:rPr>
              <w:t>A substantial change to the organisation’s operating environment e.g. new function</w:t>
            </w:r>
            <w:r w:rsidR="00336EDB">
              <w:rPr>
                <w:lang w:eastAsia="en-AU"/>
              </w:rPr>
              <w:t>al business unit</w:t>
            </w:r>
            <w:r>
              <w:rPr>
                <w:lang w:eastAsia="en-AU"/>
              </w:rPr>
              <w:t xml:space="preserve"> added/removed impacting on the type of information that the organisation handles, changes to the threat landscape impacting on the organisation’s identified information risks</w:t>
            </w:r>
            <w:r w:rsidR="00336EDB">
              <w:rPr>
                <w:lang w:eastAsia="en-AU"/>
              </w:rPr>
              <w:t>.</w:t>
            </w:r>
          </w:p>
        </w:tc>
      </w:tr>
      <w:tr w:rsidR="00262FE3" w14:paraId="3183B042" w14:textId="77777777" w:rsidTr="005E0CD6">
        <w:trPr>
          <w:cantSplit/>
        </w:trPr>
        <w:tc>
          <w:tcPr>
            <w:tcW w:w="4819" w:type="dxa"/>
            <w:tcBorders>
              <w:left w:val="nil"/>
            </w:tcBorders>
            <w:shd w:val="clear" w:color="auto" w:fill="E9E5E2"/>
          </w:tcPr>
          <w:p w14:paraId="644C5D7E" w14:textId="304D4207" w:rsidR="00262FE3" w:rsidRPr="003E7408" w:rsidRDefault="00262FE3" w:rsidP="00307AF8">
            <w:pPr>
              <w:pStyle w:val="Body"/>
              <w:spacing w:before="120" w:after="120"/>
            </w:pPr>
            <w:r>
              <w:t>At what level should security clearances start?</w:t>
            </w:r>
          </w:p>
        </w:tc>
        <w:tc>
          <w:tcPr>
            <w:tcW w:w="4819" w:type="dxa"/>
            <w:shd w:val="clear" w:color="auto" w:fill="E9E5E2"/>
          </w:tcPr>
          <w:p w14:paraId="27DFF7B7" w14:textId="77777777" w:rsidR="00262FE3" w:rsidRDefault="00262FE3" w:rsidP="00307AF8">
            <w:pPr>
              <w:pStyle w:val="Body"/>
              <w:spacing w:before="120" w:after="120"/>
            </w:pPr>
            <w:r>
              <w:t xml:space="preserve">A requirement for a </w:t>
            </w:r>
            <w:r w:rsidRPr="008F6F3D">
              <w:t>security clearance is based on the</w:t>
            </w:r>
            <w:r>
              <w:t>:</w:t>
            </w:r>
          </w:p>
          <w:p w14:paraId="562EF6D4" w14:textId="1660EFB9" w:rsidR="00262FE3" w:rsidRDefault="00262FE3" w:rsidP="00307AF8">
            <w:pPr>
              <w:pStyle w:val="Body"/>
              <w:numPr>
                <w:ilvl w:val="0"/>
                <w:numId w:val="6"/>
              </w:numPr>
              <w:spacing w:before="120" w:after="120"/>
              <w:rPr>
                <w:lang w:eastAsia="en-AU"/>
              </w:rPr>
            </w:pPr>
            <w:r w:rsidRPr="008F6F3D">
              <w:t>business impact level</w:t>
            </w:r>
            <w:r>
              <w:t xml:space="preserve"> (BIL)</w:t>
            </w:r>
            <w:r w:rsidRPr="008F6F3D">
              <w:t xml:space="preserve"> of the resources the individual requires access to</w:t>
            </w:r>
            <w:r>
              <w:t>;</w:t>
            </w:r>
            <w:r w:rsidRPr="008F6F3D">
              <w:t xml:space="preserve"> and </w:t>
            </w:r>
            <w:r>
              <w:t>/or</w:t>
            </w:r>
          </w:p>
          <w:p w14:paraId="62C00A91" w14:textId="77777777" w:rsidR="00262FE3" w:rsidRDefault="00262FE3" w:rsidP="00307AF8">
            <w:pPr>
              <w:pStyle w:val="Body"/>
              <w:numPr>
                <w:ilvl w:val="0"/>
                <w:numId w:val="6"/>
              </w:numPr>
              <w:spacing w:before="120" w:after="120"/>
              <w:rPr>
                <w:lang w:eastAsia="en-AU"/>
              </w:rPr>
            </w:pPr>
            <w:r w:rsidRPr="008F6F3D">
              <w:t>the level of assurance</w:t>
            </w:r>
            <w:r>
              <w:t xml:space="preserve"> required from the position by the organisation</w:t>
            </w:r>
            <w:r w:rsidRPr="008F6F3D">
              <w:t>.</w:t>
            </w:r>
          </w:p>
          <w:p w14:paraId="7C62378F" w14:textId="77777777" w:rsidR="00262FE3" w:rsidRDefault="00262FE3" w:rsidP="00307AF8">
            <w:pPr>
              <w:pStyle w:val="Body"/>
              <w:spacing w:before="120" w:after="120"/>
              <w:rPr>
                <w:lang w:eastAsia="en-AU"/>
              </w:rPr>
            </w:pPr>
            <w:r>
              <w:rPr>
                <w:lang w:eastAsia="en-AU"/>
              </w:rPr>
              <w:t xml:space="preserve">Personnel with ongoing access to security classified information i.e. PROTECTED and above should hold a security clearance. </w:t>
            </w:r>
          </w:p>
          <w:p w14:paraId="60AB9518" w14:textId="5EFA75D0" w:rsidR="00262FE3" w:rsidRPr="003E7408" w:rsidRDefault="00262FE3" w:rsidP="00307AF8">
            <w:pPr>
              <w:pStyle w:val="Body"/>
              <w:spacing w:before="120" w:after="120"/>
              <w:rPr>
                <w:rStyle w:val="Strong"/>
                <w:b w:val="0"/>
                <w:bCs w:val="0"/>
              </w:rPr>
            </w:pPr>
            <w:r>
              <w:rPr>
                <w:lang w:eastAsia="en-AU"/>
              </w:rPr>
              <w:t xml:space="preserve">A security clearance does not negate the ‘need to know’. </w:t>
            </w:r>
          </w:p>
        </w:tc>
      </w:tr>
      <w:tr w:rsidR="00262FE3" w14:paraId="43394F95" w14:textId="77777777" w:rsidTr="005E0CD6">
        <w:trPr>
          <w:cantSplit/>
        </w:trPr>
        <w:tc>
          <w:tcPr>
            <w:tcW w:w="4819" w:type="dxa"/>
            <w:tcBorders>
              <w:left w:val="nil"/>
            </w:tcBorders>
            <w:shd w:val="clear" w:color="auto" w:fill="E9E5E2"/>
          </w:tcPr>
          <w:p w14:paraId="3E0E6779" w14:textId="766FD075" w:rsidR="00262FE3" w:rsidRDefault="00336EDB" w:rsidP="00307AF8">
            <w:pPr>
              <w:pStyle w:val="Body"/>
              <w:spacing w:before="120" w:after="120"/>
            </w:pPr>
            <w:r>
              <w:t xml:space="preserve">What </w:t>
            </w:r>
            <w:r w:rsidR="0039747A">
              <w:t>doe</w:t>
            </w:r>
            <w:r>
              <w:t>s</w:t>
            </w:r>
            <w:r w:rsidR="00262FE3">
              <w:t xml:space="preserve"> element</w:t>
            </w:r>
            <w:r>
              <w:t xml:space="preserve"> </w:t>
            </w:r>
            <w:r w:rsidR="00CE3D60" w:rsidRPr="00CE3D60">
              <w:rPr>
                <w:i/>
                <w:iCs/>
              </w:rPr>
              <w:t>‘</w:t>
            </w:r>
            <w:r w:rsidRPr="00CE3D60">
              <w:rPr>
                <w:i/>
                <w:iCs/>
              </w:rPr>
              <w:t>X</w:t>
            </w:r>
            <w:r w:rsidR="00CE3D60" w:rsidRPr="00CE3D60">
              <w:rPr>
                <w:i/>
                <w:iCs/>
              </w:rPr>
              <w:t>’</w:t>
            </w:r>
            <w:r>
              <w:t xml:space="preserve"> </w:t>
            </w:r>
            <w:r w:rsidR="00F847D6">
              <w:t>mean</w:t>
            </w:r>
            <w:r>
              <w:t>?</w:t>
            </w:r>
          </w:p>
        </w:tc>
        <w:tc>
          <w:tcPr>
            <w:tcW w:w="4819" w:type="dxa"/>
            <w:shd w:val="clear" w:color="auto" w:fill="E9E5E2"/>
          </w:tcPr>
          <w:p w14:paraId="61B42599" w14:textId="37D3D005" w:rsidR="00262FE3" w:rsidRDefault="00262FE3" w:rsidP="00307AF8">
            <w:pPr>
              <w:pStyle w:val="Body"/>
              <w:spacing w:before="120" w:after="120"/>
              <w:rPr>
                <w:lang w:eastAsia="en-AU"/>
              </w:rPr>
            </w:pPr>
            <w:r>
              <w:rPr>
                <w:lang w:eastAsia="en-AU"/>
              </w:rPr>
              <w:t xml:space="preserve">Examples have been provided </w:t>
            </w:r>
            <w:r w:rsidR="00336EDB">
              <w:rPr>
                <w:lang w:eastAsia="en-AU"/>
              </w:rPr>
              <w:t xml:space="preserve">in brackets </w:t>
            </w:r>
            <w:r>
              <w:rPr>
                <w:lang w:eastAsia="en-AU"/>
              </w:rPr>
              <w:t xml:space="preserve">throughout the </w:t>
            </w:r>
            <w:r w:rsidR="00336EDB">
              <w:rPr>
                <w:lang w:eastAsia="en-AU"/>
              </w:rPr>
              <w:t>elements</w:t>
            </w:r>
            <w:r>
              <w:rPr>
                <w:lang w:eastAsia="en-AU"/>
              </w:rPr>
              <w:t xml:space="preserve"> to clarify the intent of some of the</w:t>
            </w:r>
            <w:r w:rsidR="00336EDB">
              <w:rPr>
                <w:lang w:eastAsia="en-AU"/>
              </w:rPr>
              <w:t>se</w:t>
            </w:r>
            <w:r>
              <w:rPr>
                <w:lang w:eastAsia="en-AU"/>
              </w:rPr>
              <w:t xml:space="preserve">. </w:t>
            </w:r>
          </w:p>
          <w:p w14:paraId="49A46812" w14:textId="53E02ADA" w:rsidR="00262FE3" w:rsidRDefault="00262FE3" w:rsidP="00307AF8">
            <w:pPr>
              <w:pStyle w:val="Body"/>
              <w:spacing w:before="120" w:after="120"/>
            </w:pPr>
            <w:r>
              <w:rPr>
                <w:lang w:eastAsia="en-AU"/>
              </w:rPr>
              <w:t xml:space="preserve">Further detail regarding implementing each of the elements is </w:t>
            </w:r>
            <w:r w:rsidR="00F847D6">
              <w:rPr>
                <w:lang w:eastAsia="en-AU"/>
              </w:rPr>
              <w:t xml:space="preserve">available </w:t>
            </w:r>
            <w:r>
              <w:rPr>
                <w:lang w:eastAsia="en-AU"/>
              </w:rPr>
              <w:t>in the primary sources listed alongside each of the elements.</w:t>
            </w:r>
          </w:p>
        </w:tc>
      </w:tr>
    </w:tbl>
    <w:p w14:paraId="4197DB96" w14:textId="7BCE4B95" w:rsidR="003E7408" w:rsidRDefault="003E7408"/>
    <w:p w14:paraId="34369F78" w14:textId="2E90A0AD" w:rsidR="0039747A" w:rsidRDefault="0039747A"/>
    <w:p w14:paraId="7D70DDC4" w14:textId="6DF8AEFF" w:rsidR="0039747A" w:rsidRDefault="0039747A"/>
    <w:p w14:paraId="785E6425" w14:textId="5834D4DA" w:rsidR="0039747A" w:rsidRDefault="0039747A"/>
    <w:p w14:paraId="7DD6A14F" w14:textId="2DF7460B" w:rsidR="0039747A" w:rsidRDefault="0039747A"/>
    <w:p w14:paraId="0246CEAB" w14:textId="71733236" w:rsidR="0039747A" w:rsidRDefault="0039747A"/>
    <w:p w14:paraId="6B5A3562" w14:textId="77777777" w:rsidR="0039747A" w:rsidRDefault="0039747A">
      <w:bookmarkStart w:id="0" w:name="_GoBack"/>
      <w:bookmarkEnd w:id="0"/>
    </w:p>
    <w:p w14:paraId="3BD1E4AF" w14:textId="3A9D176F" w:rsidR="00262FE3" w:rsidRDefault="00262FE3" w:rsidP="00262FE3">
      <w:pPr>
        <w:pStyle w:val="FurtherInfo"/>
        <w:outlineLvl w:val="0"/>
      </w:pPr>
      <w:r w:rsidRPr="0086734F">
        <w:lastRenderedPageBreak/>
        <w:t>Further Infor</w:t>
      </w:r>
      <w:r w:rsidRPr="00372C3E">
        <w:t>ma</w:t>
      </w:r>
      <w:r>
        <w:t>tion</w:t>
      </w:r>
    </w:p>
    <w:p w14:paraId="7E3EF160" w14:textId="77777777" w:rsidR="00262FE3" w:rsidRPr="009C5614" w:rsidRDefault="00262FE3" w:rsidP="00262FE3">
      <w:pPr>
        <w:widowControl w:val="0"/>
        <w:suppressAutoHyphens/>
        <w:autoSpaceDE w:val="0"/>
        <w:autoSpaceDN w:val="0"/>
        <w:adjustRightInd w:val="0"/>
        <w:spacing w:after="120" w:line="288" w:lineRule="auto"/>
        <w:textAlignment w:val="center"/>
        <w:outlineLvl w:val="0"/>
        <w:rPr>
          <w:rFonts w:cs="PostGrotesk-Medium"/>
          <w:b/>
          <w:color w:val="55565A"/>
        </w:rPr>
      </w:pPr>
      <w:r w:rsidRPr="009C5614">
        <w:rPr>
          <w:rFonts w:cs="PostGrotesk-Medium"/>
          <w:b/>
          <w:color w:val="55565A"/>
        </w:rPr>
        <w:t>Contact Us</w:t>
      </w:r>
    </w:p>
    <w:p w14:paraId="4FBEEDFB" w14:textId="77777777" w:rsidR="00262FE3" w:rsidRDefault="00262FE3" w:rsidP="00262FE3">
      <w:r w:rsidRPr="009C5614">
        <w:rPr>
          <w:rFonts w:cs="PostGrotesk-Book"/>
          <w:b/>
          <w:color w:val="430098"/>
          <w:sz w:val="22"/>
          <w:szCs w:val="22"/>
        </w:rPr>
        <w:t>t:</w:t>
      </w:r>
      <w:r w:rsidRPr="009C5614">
        <w:rPr>
          <w:rFonts w:cs="PostGrotesk-Book"/>
          <w:color w:val="55565A"/>
          <w:sz w:val="22"/>
          <w:szCs w:val="22"/>
        </w:rPr>
        <w:tab/>
        <w:t xml:space="preserve">1300 00 6842 </w:t>
      </w:r>
      <w:r w:rsidRPr="009C5614">
        <w:rPr>
          <w:rFonts w:cs="PostGrotesk-Book"/>
          <w:color w:val="55565A"/>
          <w:sz w:val="22"/>
          <w:szCs w:val="22"/>
        </w:rPr>
        <w:br/>
      </w:r>
      <w:r w:rsidRPr="009C5614">
        <w:rPr>
          <w:rFonts w:cs="PostGrotesk-Book"/>
          <w:b/>
          <w:color w:val="430098"/>
          <w:sz w:val="22"/>
          <w:szCs w:val="22"/>
        </w:rPr>
        <w:t>e:</w:t>
      </w:r>
      <w:r w:rsidRPr="009C5614">
        <w:rPr>
          <w:rFonts w:cs="PostGrotesk-Book"/>
          <w:color w:val="55565A"/>
          <w:sz w:val="22"/>
          <w:szCs w:val="22"/>
        </w:rPr>
        <w:tab/>
        <w:t>enquiries@ovic.vic.gov.au</w:t>
      </w:r>
      <w:r w:rsidRPr="009C5614">
        <w:rPr>
          <w:rFonts w:cs="PostGrotesk-Book"/>
          <w:color w:val="55565A"/>
          <w:sz w:val="22"/>
          <w:szCs w:val="22"/>
        </w:rPr>
        <w:br/>
      </w:r>
      <w:r w:rsidRPr="009C5614">
        <w:rPr>
          <w:rFonts w:cs="PostGrotesk-Book"/>
          <w:b/>
          <w:color w:val="430098"/>
          <w:sz w:val="22"/>
          <w:szCs w:val="22"/>
        </w:rPr>
        <w:t>w:</w:t>
      </w:r>
      <w:r w:rsidRPr="009C5614">
        <w:rPr>
          <w:rFonts w:cs="PostGrotesk-Book"/>
          <w:color w:val="55565A"/>
          <w:sz w:val="22"/>
          <w:szCs w:val="22"/>
        </w:rPr>
        <w:tab/>
        <w:t>ovic.vic.gov.au</w:t>
      </w:r>
    </w:p>
    <w:p w14:paraId="770B82CE" w14:textId="77777777" w:rsidR="003E7408" w:rsidRDefault="003E7408"/>
    <w:sectPr w:rsidR="003E7408" w:rsidSect="005E0CD6">
      <w:headerReference w:type="default" r:id="rId7"/>
      <w:footerReference w:type="default" r:id="rId8"/>
      <w:pgSz w:w="11900" w:h="16840"/>
      <w:pgMar w:top="1738"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D305E" w14:textId="77777777" w:rsidR="00250299" w:rsidRDefault="00250299" w:rsidP="003E7408">
      <w:r>
        <w:separator/>
      </w:r>
    </w:p>
  </w:endnote>
  <w:endnote w:type="continuationSeparator" w:id="0">
    <w:p w14:paraId="7ABBD4C4" w14:textId="77777777" w:rsidR="00250299" w:rsidRDefault="00250299" w:rsidP="003E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ostGrotesk-Book">
    <w:altName w:val="Times New Roman"/>
    <w:panose1 w:val="020B0604020202020204"/>
    <w:charset w:val="00"/>
    <w:family w:val="auto"/>
    <w:pitch w:val="variable"/>
    <w:sig w:usb0="00000001" w:usb1="500160FB" w:usb2="00000000" w:usb3="00000000" w:csb0="0000009B" w:csb1="00000000"/>
  </w:font>
  <w:font w:name="National-Book">
    <w:altName w:val="Times New Roman"/>
    <w:panose1 w:val="020B0604020202020204"/>
    <w:charset w:val="4D"/>
    <w:family w:val="auto"/>
    <w:notTrueType/>
    <w:pitch w:val="variable"/>
    <w:sig w:usb0="A00000FF" w:usb1="5000207B" w:usb2="0000001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B080" w14:textId="234989DC" w:rsidR="003E7408" w:rsidRDefault="003E7408" w:rsidP="003E7408">
    <w:pPr>
      <w:pStyle w:val="Footer"/>
      <w:jc w:val="right"/>
    </w:pPr>
    <w:r w:rsidRPr="00346148">
      <w:rPr>
        <w:rFonts w:cs="Arial"/>
        <w:color w:val="420196"/>
        <w:sz w:val="20"/>
      </w:rPr>
      <w:t xml:space="preserve">Freedom of Information </w:t>
    </w:r>
    <w:r w:rsidRPr="00F4301B">
      <w:rPr>
        <w:rFonts w:cs="Arial"/>
        <w:color w:val="E5007D"/>
        <w:sz w:val="20"/>
      </w:rPr>
      <w:t>|</w:t>
    </w:r>
    <w:r w:rsidRPr="00F4301B">
      <w:rPr>
        <w:rFonts w:cs="Arial"/>
        <w:sz w:val="20"/>
      </w:rPr>
      <w:t xml:space="preserve"> </w:t>
    </w:r>
    <w:r w:rsidRPr="00346148">
      <w:rPr>
        <w:rFonts w:cs="Arial"/>
        <w:color w:val="420196"/>
        <w:sz w:val="20"/>
      </w:rPr>
      <w:t>Privacy</w:t>
    </w:r>
    <w:r w:rsidRPr="00F4301B">
      <w:rPr>
        <w:rFonts w:cs="Arial"/>
        <w:sz w:val="20"/>
      </w:rPr>
      <w:t xml:space="preserve"> </w:t>
    </w:r>
    <w:r w:rsidRPr="00F4301B">
      <w:rPr>
        <w:rFonts w:cs="Arial"/>
        <w:color w:val="E5007D"/>
        <w:sz w:val="20"/>
      </w:rPr>
      <w:t>|</w:t>
    </w:r>
    <w:r w:rsidRPr="00F4301B">
      <w:rPr>
        <w:rFonts w:cs="Arial"/>
        <w:sz w:val="20"/>
      </w:rPr>
      <w:t xml:space="preserve"> </w:t>
    </w:r>
    <w:r w:rsidRPr="00346148">
      <w:rPr>
        <w:rFonts w:cs="Arial"/>
        <w:color w:val="420196"/>
        <w:sz w:val="20"/>
      </w:rPr>
      <w:t>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8DA09" w14:textId="77777777" w:rsidR="00250299" w:rsidRDefault="00250299" w:rsidP="003E7408">
      <w:r>
        <w:separator/>
      </w:r>
    </w:p>
  </w:footnote>
  <w:footnote w:type="continuationSeparator" w:id="0">
    <w:p w14:paraId="2FCF8CA0" w14:textId="77777777" w:rsidR="00250299" w:rsidRDefault="00250299" w:rsidP="003E7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6113" w14:textId="2D8E2724" w:rsidR="003E7408" w:rsidRPr="00B37C5F" w:rsidRDefault="005E0CD6" w:rsidP="005E0CD6">
    <w:pPr>
      <w:pStyle w:val="Header"/>
      <w:tabs>
        <w:tab w:val="left" w:pos="6946"/>
      </w:tabs>
      <w:spacing w:before="480" w:after="960"/>
      <w:ind w:firstLine="2835"/>
      <w:jc w:val="right"/>
      <w:rPr>
        <w:color w:val="7F7F7F"/>
        <w:sz w:val="20"/>
        <w:szCs w:val="20"/>
      </w:rPr>
    </w:pPr>
    <w:r w:rsidRPr="005E0CD6">
      <w:rPr>
        <w:noProof/>
        <w:color w:val="555559"/>
        <w:sz w:val="26"/>
        <w:szCs w:val="26"/>
      </w:rPr>
      <w:drawing>
        <wp:anchor distT="0" distB="0" distL="114300" distR="114300" simplePos="0" relativeHeight="251659264" behindDoc="0" locked="0" layoutInCell="1" allowOverlap="1" wp14:anchorId="1BBB7433" wp14:editId="7FB16CEF">
          <wp:simplePos x="0" y="0"/>
          <wp:positionH relativeFrom="column">
            <wp:posOffset>2540</wp:posOffset>
          </wp:positionH>
          <wp:positionV relativeFrom="page">
            <wp:posOffset>1418118</wp:posOffset>
          </wp:positionV>
          <wp:extent cx="6119495" cy="71755"/>
          <wp:effectExtent l="0" t="0" r="1905" b="4445"/>
          <wp:wrapNone/>
          <wp:docPr id="1" name="Picture 1"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71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CD6">
      <w:rPr>
        <w:noProof/>
        <w:color w:val="555559"/>
        <w:sz w:val="26"/>
        <w:szCs w:val="26"/>
      </w:rPr>
      <w:drawing>
        <wp:anchor distT="0" distB="0" distL="114300" distR="114300" simplePos="0" relativeHeight="251660288" behindDoc="1" locked="0" layoutInCell="1" allowOverlap="1" wp14:anchorId="2DB79F83" wp14:editId="1DC64B0F">
          <wp:simplePos x="0" y="0"/>
          <wp:positionH relativeFrom="column">
            <wp:posOffset>3810</wp:posOffset>
          </wp:positionH>
          <wp:positionV relativeFrom="paragraph">
            <wp:posOffset>202565</wp:posOffset>
          </wp:positionV>
          <wp:extent cx="1565910" cy="720090"/>
          <wp:effectExtent l="0" t="0" r="0" b="3810"/>
          <wp:wrapTight wrapText="bothSides">
            <wp:wrapPolygon edited="0">
              <wp:start x="0" y="0"/>
              <wp:lineTo x="0" y="21333"/>
              <wp:lineTo x="21372" y="21333"/>
              <wp:lineTo x="21372" y="0"/>
              <wp:lineTo x="0" y="0"/>
            </wp:wrapPolygon>
          </wp:wrapTight>
          <wp:docPr id="2" name="Picture 2"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408" w:rsidRPr="00EF06C1">
      <w:rPr>
        <w:color w:val="555559"/>
        <w:sz w:val="26"/>
        <w:szCs w:val="26"/>
      </w:rPr>
      <w:t>INFORMATION FOR</w:t>
    </w:r>
    <w:r>
      <w:rPr>
        <w:color w:val="555559"/>
        <w:sz w:val="26"/>
        <w:szCs w:val="26"/>
      </w:rPr>
      <w:br/>
    </w:r>
    <w:r w:rsidR="003E7408" w:rsidRPr="00EF06C1">
      <w:rPr>
        <w:color w:val="430098"/>
        <w:sz w:val="26"/>
        <w:szCs w:val="26"/>
      </w:rPr>
      <w:t>THE PUBLIC/AGENCIES</w:t>
    </w:r>
    <w:r>
      <w:rPr>
        <w:color w:val="430098"/>
        <w:sz w:val="26"/>
        <w:szCs w:val="26"/>
      </w:rPr>
      <w:br/>
    </w:r>
    <w:r w:rsidR="003E7408" w:rsidRPr="00064688">
      <w:rPr>
        <w:color w:val="555559"/>
        <w:sz w:val="20"/>
        <w:szCs w:val="20"/>
      </w:rPr>
      <w:t>1300 00 6842 |ovic.</w:t>
    </w:r>
    <w:r w:rsidR="003E7408">
      <w:rPr>
        <w:color w:val="555559"/>
        <w:sz w:val="20"/>
        <w:szCs w:val="20"/>
      </w:rPr>
      <w:t>vic.gov</w:t>
    </w:r>
    <w:r w:rsidR="003E7408" w:rsidRPr="00064688">
      <w:rPr>
        <w:color w:val="555559"/>
        <w:sz w:val="20"/>
        <w:szCs w:val="20"/>
      </w:rPr>
      <w:t>.au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287"/>
    <w:multiLevelType w:val="hybridMultilevel"/>
    <w:tmpl w:val="3530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C0B9B"/>
    <w:multiLevelType w:val="hybridMultilevel"/>
    <w:tmpl w:val="B906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65D18"/>
    <w:multiLevelType w:val="hybridMultilevel"/>
    <w:tmpl w:val="47FE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F2861"/>
    <w:multiLevelType w:val="hybridMultilevel"/>
    <w:tmpl w:val="994E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B71DF4"/>
    <w:multiLevelType w:val="hybridMultilevel"/>
    <w:tmpl w:val="A6A0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5605C"/>
    <w:multiLevelType w:val="hybridMultilevel"/>
    <w:tmpl w:val="C5EEEFA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08"/>
    <w:rsid w:val="001868B8"/>
    <w:rsid w:val="00250299"/>
    <w:rsid w:val="00262FE3"/>
    <w:rsid w:val="0029656A"/>
    <w:rsid w:val="002E06ED"/>
    <w:rsid w:val="00307AF8"/>
    <w:rsid w:val="00336EDB"/>
    <w:rsid w:val="0039747A"/>
    <w:rsid w:val="003E7408"/>
    <w:rsid w:val="004C6EC7"/>
    <w:rsid w:val="005E0CD6"/>
    <w:rsid w:val="00831F3A"/>
    <w:rsid w:val="009237EE"/>
    <w:rsid w:val="00C43B04"/>
    <w:rsid w:val="00CE3D60"/>
    <w:rsid w:val="00D87054"/>
    <w:rsid w:val="00F25BF9"/>
    <w:rsid w:val="00F847D6"/>
    <w:rsid w:val="00FB4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B2C3DE5"/>
  <w15:chartTrackingRefBased/>
  <w15:docId w15:val="{5B4AEE6C-84E3-E749-A7E7-0CEBD781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7408"/>
    <w:rPr>
      <w:b/>
      <w:bCs/>
    </w:rPr>
  </w:style>
  <w:style w:type="paragraph" w:customStyle="1" w:styleId="SectionHeading1">
    <w:name w:val="Section Heading 1"/>
    <w:basedOn w:val="Normal"/>
    <w:qFormat/>
    <w:rsid w:val="003E7408"/>
    <w:rPr>
      <w:color w:val="420196"/>
      <w:sz w:val="28"/>
    </w:rPr>
  </w:style>
  <w:style w:type="paragraph" w:styleId="BalloonText">
    <w:name w:val="Balloon Text"/>
    <w:basedOn w:val="Normal"/>
    <w:link w:val="BalloonTextChar"/>
    <w:uiPriority w:val="99"/>
    <w:semiHidden/>
    <w:unhideWhenUsed/>
    <w:rsid w:val="003E74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7408"/>
    <w:rPr>
      <w:rFonts w:ascii="Times New Roman" w:hAnsi="Times New Roman" w:cs="Times New Roman"/>
      <w:sz w:val="18"/>
      <w:szCs w:val="18"/>
    </w:rPr>
  </w:style>
  <w:style w:type="paragraph" w:styleId="Header">
    <w:name w:val="header"/>
    <w:basedOn w:val="Normal"/>
    <w:link w:val="HeaderChar"/>
    <w:uiPriority w:val="99"/>
    <w:unhideWhenUsed/>
    <w:rsid w:val="003E7408"/>
    <w:pPr>
      <w:tabs>
        <w:tab w:val="center" w:pos="4680"/>
        <w:tab w:val="right" w:pos="9360"/>
      </w:tabs>
    </w:pPr>
  </w:style>
  <w:style w:type="character" w:customStyle="1" w:styleId="HeaderChar">
    <w:name w:val="Header Char"/>
    <w:basedOn w:val="DefaultParagraphFont"/>
    <w:link w:val="Header"/>
    <w:uiPriority w:val="99"/>
    <w:rsid w:val="003E7408"/>
  </w:style>
  <w:style w:type="paragraph" w:customStyle="1" w:styleId="DocumentTitle">
    <w:name w:val="Document Title"/>
    <w:basedOn w:val="Header"/>
    <w:qFormat/>
    <w:rsid w:val="003E7408"/>
    <w:pPr>
      <w:tabs>
        <w:tab w:val="clear" w:pos="4680"/>
        <w:tab w:val="clear" w:pos="9360"/>
        <w:tab w:val="center" w:pos="4513"/>
        <w:tab w:val="left" w:pos="6946"/>
      </w:tabs>
      <w:spacing w:before="840" w:after="120"/>
    </w:pPr>
    <w:rPr>
      <w:rFonts w:ascii="Arial" w:eastAsia="Calibri" w:hAnsi="Arial" w:cs="Arial"/>
      <w:b/>
      <w:color w:val="430098"/>
      <w:sz w:val="40"/>
      <w:szCs w:val="40"/>
      <w:lang w:val="en-GB"/>
    </w:rPr>
  </w:style>
  <w:style w:type="paragraph" w:styleId="Footer">
    <w:name w:val="footer"/>
    <w:basedOn w:val="Normal"/>
    <w:link w:val="FooterChar"/>
    <w:uiPriority w:val="99"/>
    <w:unhideWhenUsed/>
    <w:rsid w:val="003E7408"/>
    <w:pPr>
      <w:tabs>
        <w:tab w:val="center" w:pos="4680"/>
        <w:tab w:val="right" w:pos="9360"/>
      </w:tabs>
    </w:pPr>
  </w:style>
  <w:style w:type="character" w:customStyle="1" w:styleId="FooterChar">
    <w:name w:val="Footer Char"/>
    <w:basedOn w:val="DefaultParagraphFont"/>
    <w:link w:val="Footer"/>
    <w:uiPriority w:val="99"/>
    <w:rsid w:val="003E7408"/>
  </w:style>
  <w:style w:type="paragraph" w:customStyle="1" w:styleId="Body">
    <w:name w:val="Body"/>
    <w:basedOn w:val="Normal"/>
    <w:qFormat/>
    <w:rsid w:val="003E7408"/>
    <w:pPr>
      <w:widowControl w:val="0"/>
      <w:suppressAutoHyphens/>
      <w:autoSpaceDE w:val="0"/>
      <w:autoSpaceDN w:val="0"/>
      <w:adjustRightInd w:val="0"/>
      <w:spacing w:after="240"/>
      <w:textAlignment w:val="center"/>
    </w:pPr>
    <w:rPr>
      <w:rFonts w:ascii="Calibri" w:eastAsia="Calibri" w:hAnsi="Calibri" w:cs="PostGrotesk-Book"/>
      <w:color w:val="55565A"/>
      <w:sz w:val="22"/>
      <w:szCs w:val="22"/>
      <w:lang w:val="en-GB"/>
    </w:rPr>
  </w:style>
  <w:style w:type="table" w:styleId="TableGridLight">
    <w:name w:val="Grid Table Light"/>
    <w:basedOn w:val="TableNormal"/>
    <w:uiPriority w:val="40"/>
    <w:rsid w:val="003E7408"/>
    <w:rPr>
      <w:rFonts w:ascii="Calibri" w:eastAsia="Calibri" w:hAnsi="Calibri" w:cs="Times New Roman"/>
      <w:sz w:val="20"/>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Copy">
    <w:name w:val="Body Copy"/>
    <w:basedOn w:val="Normal"/>
    <w:uiPriority w:val="99"/>
    <w:qFormat/>
    <w:rsid w:val="003E7408"/>
    <w:pPr>
      <w:widowControl w:val="0"/>
      <w:suppressAutoHyphens/>
      <w:autoSpaceDE w:val="0"/>
      <w:autoSpaceDN w:val="0"/>
      <w:adjustRightInd w:val="0"/>
      <w:spacing w:before="120" w:after="200" w:line="264" w:lineRule="auto"/>
      <w:textAlignment w:val="center"/>
    </w:pPr>
    <w:rPr>
      <w:rFonts w:eastAsia="Times New Roman" w:cs="National-Book"/>
      <w:color w:val="55565A"/>
      <w:sz w:val="22"/>
      <w:szCs w:val="22"/>
      <w:lang w:val="en-US"/>
    </w:rPr>
  </w:style>
  <w:style w:type="table" w:styleId="TableGrid">
    <w:name w:val="Table Grid"/>
    <w:basedOn w:val="TableNormal"/>
    <w:uiPriority w:val="39"/>
    <w:rsid w:val="003E7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rtherInfo">
    <w:name w:val="Further Info"/>
    <w:qFormat/>
    <w:rsid w:val="00262FE3"/>
    <w:pPr>
      <w:pBdr>
        <w:top w:val="single" w:sz="4" w:space="6" w:color="430098"/>
      </w:pBdr>
      <w:spacing w:before="480" w:after="200"/>
    </w:pPr>
    <w:rPr>
      <w:rFonts w:ascii="Calibri" w:eastAsia="Calibri" w:hAnsi="Calibri" w:cs="PostGrotesk-Medium"/>
      <w:color w:val="430098"/>
      <w:sz w:val="28"/>
      <w:szCs w:val="28"/>
      <w:lang w:val="en-GB"/>
    </w:rPr>
  </w:style>
  <w:style w:type="paragraph" w:styleId="Revision">
    <w:name w:val="Revision"/>
    <w:hidden/>
    <w:uiPriority w:val="99"/>
    <w:semiHidden/>
    <w:rsid w:val="0033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OVIC111</dc:creator>
  <cp:keywords/>
  <dc:description/>
  <cp:lastModifiedBy>OVIC111</cp:lastModifiedBy>
  <cp:revision>3</cp:revision>
  <cp:lastPrinted>2019-11-19T22:49:00Z</cp:lastPrinted>
  <dcterms:created xsi:type="dcterms:W3CDTF">2019-11-22T05:04:00Z</dcterms:created>
  <dcterms:modified xsi:type="dcterms:W3CDTF">2019-11-22T05:05:00Z</dcterms:modified>
</cp:coreProperties>
</file>