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8065F" w14:textId="6F3F600B" w:rsidR="009374D7" w:rsidRPr="00B37C5F" w:rsidRDefault="00BB7D9B" w:rsidP="009374D7">
      <w:pPr>
        <w:pStyle w:val="Header"/>
        <w:tabs>
          <w:tab w:val="clear" w:pos="4513"/>
          <w:tab w:val="clear" w:pos="9026"/>
          <w:tab w:val="left" w:pos="6946"/>
        </w:tabs>
        <w:spacing w:after="180"/>
        <w:rPr>
          <w:color w:val="7F7F7F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582F73FD" wp14:editId="0803341D">
            <wp:simplePos x="0" y="0"/>
            <wp:positionH relativeFrom="column">
              <wp:posOffset>-1905</wp:posOffset>
            </wp:positionH>
            <wp:positionV relativeFrom="page">
              <wp:posOffset>1361277</wp:posOffset>
            </wp:positionV>
            <wp:extent cx="6119495" cy="71755"/>
            <wp:effectExtent l="0" t="0" r="1905" b="4445"/>
            <wp:wrapNone/>
            <wp:docPr id="10" name="Picture 10" descr="gradient%20line_th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dient%20line_th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4D7">
        <w:rPr>
          <w:noProof/>
          <w:color w:val="7F7F7F"/>
          <w:sz w:val="28"/>
          <w:szCs w:val="28"/>
          <w:lang w:val="en-AU" w:eastAsia="en-AU"/>
        </w:rPr>
        <w:drawing>
          <wp:anchor distT="0" distB="0" distL="114300" distR="114300" simplePos="0" relativeHeight="251660288" behindDoc="1" locked="0" layoutInCell="1" allowOverlap="1" wp14:anchorId="0DE93327" wp14:editId="446F973F">
            <wp:simplePos x="0" y="0"/>
            <wp:positionH relativeFrom="column">
              <wp:posOffset>-5080</wp:posOffset>
            </wp:positionH>
            <wp:positionV relativeFrom="paragraph">
              <wp:posOffset>3810</wp:posOffset>
            </wp:positionV>
            <wp:extent cx="1565910" cy="720090"/>
            <wp:effectExtent l="0" t="0" r="0" b="3810"/>
            <wp:wrapTopAndBottom/>
            <wp:docPr id="9" name="Picture 9" descr="2056_OVIC_Logo_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56_OVIC_Logo_v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971C1" w14:textId="5FEBAC57" w:rsidR="009374D7" w:rsidRPr="002F0938" w:rsidRDefault="009374D7" w:rsidP="00BB7D9B">
      <w:pPr>
        <w:pStyle w:val="DocumentTitle"/>
        <w:spacing w:before="240"/>
        <w:rPr>
          <w:sz w:val="36"/>
          <w:szCs w:val="36"/>
        </w:rPr>
      </w:pPr>
      <w:r>
        <w:rPr>
          <w:sz w:val="36"/>
          <w:szCs w:val="36"/>
        </w:rPr>
        <w:t>Victorian Protective Data Security Standards</w:t>
      </w:r>
    </w:p>
    <w:p w14:paraId="70DDF411" w14:textId="77777777" w:rsidR="009374D7" w:rsidRDefault="009374D7" w:rsidP="009374D7">
      <w:pPr>
        <w:pStyle w:val="Header"/>
        <w:tabs>
          <w:tab w:val="left" w:pos="6946"/>
        </w:tabs>
        <w:spacing w:after="120"/>
        <w:rPr>
          <w:rFonts w:ascii="Arial" w:hAnsi="Arial" w:cs="Arial"/>
          <w:color w:val="555559"/>
          <w:sz w:val="30"/>
          <w:szCs w:val="30"/>
        </w:rPr>
      </w:pPr>
      <w:r>
        <w:rPr>
          <w:rFonts w:ascii="Arial" w:hAnsi="Arial" w:cs="Arial"/>
          <w:color w:val="555559"/>
          <w:sz w:val="30"/>
          <w:szCs w:val="30"/>
        </w:rPr>
        <w:t>Version 2.0 (2019) to Version 1.0 (2016) Mapping</w:t>
      </w:r>
    </w:p>
    <w:p w14:paraId="2AE9CDD0" w14:textId="2EFE6B35" w:rsidR="009374D7" w:rsidRDefault="009374D7"/>
    <w:tbl>
      <w:tblPr>
        <w:tblStyle w:val="TableGrid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CellMar>
          <w:top w:w="142" w:type="dxa"/>
          <w:left w:w="170" w:type="dxa"/>
          <w:bottom w:w="142" w:type="dxa"/>
          <w:right w:w="170" w:type="dxa"/>
        </w:tblCellMar>
        <w:tblLook w:val="04A0" w:firstRow="1" w:lastRow="0" w:firstColumn="1" w:lastColumn="0" w:noHBand="0" w:noVBand="1"/>
      </w:tblPr>
      <w:tblGrid>
        <w:gridCol w:w="3189"/>
        <w:gridCol w:w="3192"/>
        <w:gridCol w:w="3191"/>
      </w:tblGrid>
      <w:tr w:rsidR="00DF6BC0" w14:paraId="71DD60E5" w14:textId="77777777" w:rsidTr="00BB7D9B">
        <w:tc>
          <w:tcPr>
            <w:tcW w:w="3207" w:type="dxa"/>
            <w:shd w:val="clear" w:color="auto" w:fill="5620A9"/>
            <w:vAlign w:val="center"/>
          </w:tcPr>
          <w:p w14:paraId="6F6AED03" w14:textId="018D8D1D" w:rsidR="00DF6BC0" w:rsidRPr="003E2D83" w:rsidRDefault="00DF6BC0" w:rsidP="00BB7D9B">
            <w:pPr>
              <w:pStyle w:val="BodyCopy"/>
              <w:spacing w:before="0" w:after="0"/>
              <w:ind w:left="113" w:right="113"/>
              <w:rPr>
                <w:b/>
                <w:bCs/>
                <w:color w:val="EA1D88"/>
                <w:sz w:val="20"/>
                <w:szCs w:val="20"/>
              </w:rPr>
            </w:pPr>
            <w:r w:rsidRPr="003E2D83">
              <w:rPr>
                <w:b/>
                <w:bCs/>
                <w:color w:val="FFFFFF" w:themeColor="background1"/>
                <w:sz w:val="20"/>
                <w:szCs w:val="20"/>
              </w:rPr>
              <w:t>Standard #</w:t>
            </w:r>
          </w:p>
        </w:tc>
        <w:tc>
          <w:tcPr>
            <w:tcW w:w="3207" w:type="dxa"/>
            <w:shd w:val="clear" w:color="auto" w:fill="5620A9"/>
            <w:vAlign w:val="center"/>
          </w:tcPr>
          <w:p w14:paraId="74136E18" w14:textId="2E6B49E2" w:rsidR="00DF6BC0" w:rsidRPr="003E2D83" w:rsidRDefault="00DF6BC0" w:rsidP="00BB7D9B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3E2D83">
              <w:rPr>
                <w:b/>
                <w:bCs/>
                <w:color w:val="FFFFFF" w:themeColor="background1"/>
                <w:sz w:val="20"/>
                <w:szCs w:val="20"/>
                <w:lang w:eastAsia="en-AU"/>
              </w:rPr>
              <w:t>Previous Standard # (VPDSS 1.0)</w:t>
            </w:r>
          </w:p>
        </w:tc>
        <w:tc>
          <w:tcPr>
            <w:tcW w:w="3208" w:type="dxa"/>
            <w:shd w:val="clear" w:color="auto" w:fill="5620A9"/>
            <w:vAlign w:val="center"/>
          </w:tcPr>
          <w:p w14:paraId="28737F0A" w14:textId="64FE2D5B" w:rsidR="00DF6BC0" w:rsidRPr="003E2D83" w:rsidRDefault="00DF6BC0" w:rsidP="00BB7D9B">
            <w:pPr>
              <w:rPr>
                <w:sz w:val="20"/>
                <w:szCs w:val="20"/>
              </w:rPr>
            </w:pPr>
            <w:r w:rsidRPr="003E2D83">
              <w:rPr>
                <w:b/>
                <w:bCs/>
                <w:color w:val="FFFFFF" w:themeColor="background1"/>
                <w:sz w:val="20"/>
                <w:szCs w:val="20"/>
                <w:lang w:eastAsia="en-AU"/>
              </w:rPr>
              <w:t>Statement of Objective</w:t>
            </w:r>
          </w:p>
        </w:tc>
      </w:tr>
      <w:tr w:rsidR="00DF6BC0" w14:paraId="60AA8F41" w14:textId="77777777" w:rsidTr="00BB7D9B">
        <w:tc>
          <w:tcPr>
            <w:tcW w:w="3207" w:type="dxa"/>
            <w:shd w:val="clear" w:color="auto" w:fill="E9E5E2"/>
          </w:tcPr>
          <w:p w14:paraId="78082612" w14:textId="77777777" w:rsidR="00DF6BC0" w:rsidRPr="00DF6BC0" w:rsidRDefault="00DF6BC0" w:rsidP="003E2D83">
            <w:pPr>
              <w:pStyle w:val="BodyCopy"/>
              <w:spacing w:after="0"/>
              <w:ind w:right="113"/>
              <w:rPr>
                <w:b/>
                <w:bCs/>
                <w:color w:val="EA1D88"/>
              </w:rPr>
            </w:pPr>
            <w:r w:rsidRPr="00DF6BC0">
              <w:rPr>
                <w:b/>
                <w:bCs/>
                <w:color w:val="EA1D88"/>
              </w:rPr>
              <w:t>1</w:t>
            </w:r>
          </w:p>
          <w:p w14:paraId="54FFAB52" w14:textId="6BA9671D" w:rsidR="00DF6BC0" w:rsidRPr="00DF6BC0" w:rsidRDefault="00DF6BC0" w:rsidP="003E2D83">
            <w:pPr>
              <w:spacing w:after="240"/>
              <w:rPr>
                <w:sz w:val="22"/>
                <w:szCs w:val="22"/>
              </w:rPr>
            </w:pPr>
            <w:r w:rsidRPr="00DF6BC0">
              <w:rPr>
                <w:b/>
                <w:bCs/>
                <w:color w:val="EA1D88"/>
                <w:sz w:val="22"/>
                <w:szCs w:val="22"/>
              </w:rPr>
              <w:t>Information Security Management Framework</w:t>
            </w:r>
          </w:p>
        </w:tc>
        <w:tc>
          <w:tcPr>
            <w:tcW w:w="3207" w:type="dxa"/>
            <w:shd w:val="clear" w:color="auto" w:fill="E9E5E2"/>
          </w:tcPr>
          <w:p w14:paraId="5CE5B700" w14:textId="77777777" w:rsidR="00DF6BC0" w:rsidRPr="00DF6BC0" w:rsidRDefault="00DF6BC0" w:rsidP="00DF6BC0">
            <w:pPr>
              <w:pStyle w:val="BodyCopy"/>
              <w:spacing w:after="240"/>
            </w:pPr>
            <w:r w:rsidRPr="00DF6BC0">
              <w:t>Standard 1 – Security Management Framework</w:t>
            </w:r>
          </w:p>
          <w:p w14:paraId="73AA5164" w14:textId="77777777" w:rsidR="00DF6BC0" w:rsidRPr="00DF6BC0" w:rsidRDefault="00DF6BC0" w:rsidP="00DF6BC0">
            <w:pPr>
              <w:pStyle w:val="BodyCopy"/>
              <w:spacing w:after="240"/>
            </w:pPr>
            <w:r w:rsidRPr="00DF6BC0">
              <w:t>Standard 3 – Policies and Procedures</w:t>
            </w:r>
          </w:p>
          <w:p w14:paraId="6F5C5116" w14:textId="680153B9" w:rsidR="00DF6BC0" w:rsidRPr="00DF6BC0" w:rsidRDefault="00DF6BC0" w:rsidP="00DF4952">
            <w:pPr>
              <w:pStyle w:val="BodyCopy"/>
            </w:pPr>
            <w:r w:rsidRPr="00DF6BC0">
              <w:t xml:space="preserve">Standard 12 - Compliance (COM-020 only) </w:t>
            </w:r>
          </w:p>
        </w:tc>
        <w:tc>
          <w:tcPr>
            <w:tcW w:w="3208" w:type="dxa"/>
            <w:shd w:val="clear" w:color="auto" w:fill="E9E5E2"/>
          </w:tcPr>
          <w:p w14:paraId="439FB333" w14:textId="15F5DDB7" w:rsidR="00DF6BC0" w:rsidRPr="00DF4952" w:rsidRDefault="00DF6BC0" w:rsidP="00DF6BC0">
            <w:pPr>
              <w:spacing w:before="120" w:after="240"/>
              <w:rPr>
                <w:color w:val="595959" w:themeColor="text1" w:themeTint="A6"/>
                <w:sz w:val="22"/>
                <w:szCs w:val="22"/>
              </w:rPr>
            </w:pPr>
            <w:r w:rsidRPr="00DF4952">
              <w:rPr>
                <w:color w:val="595959" w:themeColor="text1" w:themeTint="A6"/>
                <w:sz w:val="22"/>
                <w:szCs w:val="22"/>
              </w:rPr>
              <w:t>To clearly establish, articulate, support and promote the security governance arrangements across the organisation and manage security risks to public sector information.</w:t>
            </w:r>
          </w:p>
        </w:tc>
      </w:tr>
      <w:tr w:rsidR="00DF6BC0" w14:paraId="3CE30F26" w14:textId="77777777" w:rsidTr="00BB7D9B">
        <w:tc>
          <w:tcPr>
            <w:tcW w:w="3207" w:type="dxa"/>
            <w:shd w:val="clear" w:color="auto" w:fill="E9E5E2"/>
          </w:tcPr>
          <w:p w14:paraId="1447727A" w14:textId="77777777" w:rsidR="00DF6BC0" w:rsidRPr="00DF6BC0" w:rsidRDefault="00DF6BC0" w:rsidP="003E2D83">
            <w:pPr>
              <w:pStyle w:val="BodyCopy"/>
              <w:spacing w:before="0" w:after="0"/>
              <w:ind w:right="113"/>
              <w:rPr>
                <w:b/>
                <w:bCs/>
                <w:color w:val="EA1D88"/>
              </w:rPr>
            </w:pPr>
            <w:r w:rsidRPr="00DF6BC0">
              <w:rPr>
                <w:b/>
                <w:bCs/>
                <w:color w:val="EA1D88"/>
              </w:rPr>
              <w:t>2</w:t>
            </w:r>
          </w:p>
          <w:p w14:paraId="0A46A7C1" w14:textId="13FF6041" w:rsidR="00DF6BC0" w:rsidRPr="00DF6BC0" w:rsidRDefault="00DF6BC0" w:rsidP="00DF6BC0">
            <w:pPr>
              <w:rPr>
                <w:sz w:val="22"/>
                <w:szCs w:val="22"/>
              </w:rPr>
            </w:pPr>
            <w:r w:rsidRPr="00DF6BC0">
              <w:rPr>
                <w:b/>
                <w:bCs/>
                <w:color w:val="EA1D88"/>
                <w:sz w:val="22"/>
                <w:szCs w:val="22"/>
              </w:rPr>
              <w:t>Information Security Value</w:t>
            </w:r>
          </w:p>
        </w:tc>
        <w:tc>
          <w:tcPr>
            <w:tcW w:w="3207" w:type="dxa"/>
            <w:shd w:val="clear" w:color="auto" w:fill="E9E5E2"/>
          </w:tcPr>
          <w:p w14:paraId="471C5E5A" w14:textId="77777777" w:rsidR="00DF6BC0" w:rsidRPr="00DF6BC0" w:rsidRDefault="00DF6BC0" w:rsidP="00DF6BC0">
            <w:pPr>
              <w:pStyle w:val="BodyCopy"/>
              <w:spacing w:before="0" w:after="0"/>
              <w:rPr>
                <w:rFonts w:asciiTheme="minorHAnsi" w:hAnsiTheme="minorHAnsi" w:cstheme="minorHAnsi"/>
              </w:rPr>
            </w:pPr>
            <w:r w:rsidRPr="00DF6BC0">
              <w:rPr>
                <w:rFonts w:asciiTheme="minorHAnsi" w:hAnsiTheme="minorHAnsi" w:cstheme="minorHAnsi"/>
              </w:rPr>
              <w:t>Standard 13 – Information Value</w:t>
            </w:r>
          </w:p>
          <w:p w14:paraId="539E433F" w14:textId="265C7A23" w:rsidR="00DF6BC0" w:rsidRPr="00DF6BC0" w:rsidRDefault="00DF6BC0" w:rsidP="00DF4952">
            <w:pPr>
              <w:pStyle w:val="BodyCopy"/>
            </w:pPr>
            <w:r w:rsidRPr="00DF6BC0">
              <w:t>Standard 14 – Information Management</w:t>
            </w:r>
          </w:p>
        </w:tc>
        <w:tc>
          <w:tcPr>
            <w:tcW w:w="3208" w:type="dxa"/>
            <w:shd w:val="clear" w:color="auto" w:fill="E9E5E2"/>
          </w:tcPr>
          <w:p w14:paraId="7986A133" w14:textId="44C66994" w:rsidR="00DF6BC0" w:rsidRPr="00DF4952" w:rsidRDefault="00DF6BC0" w:rsidP="00DF6BC0">
            <w:pPr>
              <w:rPr>
                <w:color w:val="595959" w:themeColor="text1" w:themeTint="A6"/>
                <w:sz w:val="22"/>
                <w:szCs w:val="22"/>
              </w:rPr>
            </w:pPr>
            <w:r w:rsidRPr="00DF4952">
              <w:rPr>
                <w:color w:val="595959" w:themeColor="text1" w:themeTint="A6"/>
                <w:sz w:val="22"/>
                <w:szCs w:val="22"/>
                <w:lang w:eastAsia="en-AU"/>
              </w:rPr>
              <w:t>To ensure an organisation uses consistent identification and assessment criteria for public sector information across its lifecycle to maintain its confidentiality, integrity and availability</w:t>
            </w:r>
            <w:r w:rsidRPr="00DF4952">
              <w:rPr>
                <w:color w:val="595959" w:themeColor="text1" w:themeTint="A6"/>
                <w:sz w:val="22"/>
                <w:szCs w:val="22"/>
              </w:rPr>
              <w:t>.</w:t>
            </w:r>
          </w:p>
        </w:tc>
        <w:bookmarkStart w:id="0" w:name="_GoBack"/>
        <w:bookmarkEnd w:id="0"/>
      </w:tr>
      <w:tr w:rsidR="00DF6BC0" w14:paraId="6CB681CC" w14:textId="77777777" w:rsidTr="00BB7D9B">
        <w:tc>
          <w:tcPr>
            <w:tcW w:w="3207" w:type="dxa"/>
            <w:shd w:val="clear" w:color="auto" w:fill="E9E5E2"/>
          </w:tcPr>
          <w:p w14:paraId="0ACD3CF1" w14:textId="77777777" w:rsidR="00DF6BC0" w:rsidRPr="00DF6BC0" w:rsidRDefault="00DF6BC0" w:rsidP="003E2D83">
            <w:pPr>
              <w:pStyle w:val="BodyCopy"/>
              <w:spacing w:before="0" w:after="0"/>
              <w:ind w:right="113"/>
              <w:rPr>
                <w:b/>
                <w:bCs/>
                <w:color w:val="EA1D88"/>
              </w:rPr>
            </w:pPr>
            <w:r w:rsidRPr="00DF6BC0">
              <w:rPr>
                <w:b/>
                <w:bCs/>
                <w:color w:val="EA1D88"/>
              </w:rPr>
              <w:t>3</w:t>
            </w:r>
          </w:p>
          <w:p w14:paraId="6DC8F4C0" w14:textId="7EA7ABC9" w:rsidR="00DF6BC0" w:rsidRPr="00DF6BC0" w:rsidRDefault="00DF6BC0" w:rsidP="00DF6BC0">
            <w:pPr>
              <w:rPr>
                <w:sz w:val="22"/>
                <w:szCs w:val="22"/>
              </w:rPr>
            </w:pPr>
            <w:r w:rsidRPr="00DF6BC0">
              <w:rPr>
                <w:b/>
                <w:bCs/>
                <w:color w:val="EA1D88"/>
                <w:sz w:val="22"/>
                <w:szCs w:val="22"/>
              </w:rPr>
              <w:t>Information Security Risk Management</w:t>
            </w:r>
          </w:p>
        </w:tc>
        <w:tc>
          <w:tcPr>
            <w:tcW w:w="3207" w:type="dxa"/>
            <w:shd w:val="clear" w:color="auto" w:fill="E9E5E2"/>
          </w:tcPr>
          <w:p w14:paraId="01762DBE" w14:textId="77777777" w:rsidR="00DF6BC0" w:rsidRPr="00DF6BC0" w:rsidRDefault="00DF6BC0" w:rsidP="00DF6BC0">
            <w:pPr>
              <w:pStyle w:val="BodyCopy"/>
              <w:spacing w:before="0" w:after="0"/>
            </w:pPr>
            <w:r w:rsidRPr="00DF6BC0">
              <w:t>Standard 2 – Security Risk Management</w:t>
            </w:r>
          </w:p>
          <w:p w14:paraId="516262AF" w14:textId="2DC57EE8" w:rsidR="00DF6BC0" w:rsidRPr="00DF4952" w:rsidRDefault="00DF6BC0" w:rsidP="00DF4952">
            <w:pPr>
              <w:pStyle w:val="BodyCopy"/>
            </w:pPr>
            <w:r w:rsidRPr="00DF4952">
              <w:t>Standard 11 – Security Plans</w:t>
            </w:r>
          </w:p>
        </w:tc>
        <w:tc>
          <w:tcPr>
            <w:tcW w:w="3208" w:type="dxa"/>
            <w:shd w:val="clear" w:color="auto" w:fill="E9E5E2"/>
          </w:tcPr>
          <w:p w14:paraId="4670B402" w14:textId="0CA25C8F" w:rsidR="00DF6BC0" w:rsidRPr="00DF4952" w:rsidRDefault="00DF6BC0" w:rsidP="00DF6BC0">
            <w:pPr>
              <w:rPr>
                <w:color w:val="595959" w:themeColor="text1" w:themeTint="A6"/>
                <w:sz w:val="22"/>
                <w:szCs w:val="22"/>
              </w:rPr>
            </w:pPr>
            <w:r w:rsidRPr="00DF4952">
              <w:rPr>
                <w:color w:val="595959" w:themeColor="text1" w:themeTint="A6"/>
                <w:sz w:val="22"/>
                <w:szCs w:val="22"/>
              </w:rPr>
              <w:t>To ensure an organisation manages information security risks through informed business decisions while applying controls to protect public sector information.</w:t>
            </w:r>
          </w:p>
        </w:tc>
      </w:tr>
      <w:tr w:rsidR="00DF6BC0" w14:paraId="6C7FC1CB" w14:textId="77777777" w:rsidTr="00BB7D9B">
        <w:tc>
          <w:tcPr>
            <w:tcW w:w="3207" w:type="dxa"/>
            <w:shd w:val="clear" w:color="auto" w:fill="E9E5E2"/>
          </w:tcPr>
          <w:p w14:paraId="170D0C92" w14:textId="77777777" w:rsidR="00DF6BC0" w:rsidRPr="00DF6BC0" w:rsidRDefault="00DF6BC0" w:rsidP="003E2D83">
            <w:pPr>
              <w:pStyle w:val="BodyCopy"/>
              <w:spacing w:before="0" w:after="0"/>
              <w:ind w:right="113"/>
              <w:rPr>
                <w:b/>
                <w:bCs/>
                <w:color w:val="EA1D88"/>
              </w:rPr>
            </w:pPr>
            <w:r w:rsidRPr="00DF6BC0">
              <w:rPr>
                <w:b/>
                <w:bCs/>
                <w:color w:val="EA1D88"/>
              </w:rPr>
              <w:t>4</w:t>
            </w:r>
          </w:p>
          <w:p w14:paraId="309E5D7B" w14:textId="6AA7EABE" w:rsidR="00DF6BC0" w:rsidRPr="00DF6BC0" w:rsidRDefault="00DF6BC0" w:rsidP="00DF6BC0">
            <w:pPr>
              <w:rPr>
                <w:sz w:val="22"/>
                <w:szCs w:val="22"/>
              </w:rPr>
            </w:pPr>
            <w:r w:rsidRPr="00DF6BC0">
              <w:rPr>
                <w:b/>
                <w:bCs/>
                <w:color w:val="EA1D88"/>
                <w:sz w:val="22"/>
                <w:szCs w:val="22"/>
              </w:rPr>
              <w:t>Information Access</w:t>
            </w:r>
          </w:p>
        </w:tc>
        <w:tc>
          <w:tcPr>
            <w:tcW w:w="3207" w:type="dxa"/>
            <w:shd w:val="clear" w:color="auto" w:fill="E9E5E2"/>
          </w:tcPr>
          <w:p w14:paraId="46750097" w14:textId="46E57395" w:rsidR="00DF6BC0" w:rsidRPr="00DF4952" w:rsidRDefault="00DF6BC0" w:rsidP="00DF4952">
            <w:pPr>
              <w:pStyle w:val="BodyCopy"/>
            </w:pPr>
            <w:r w:rsidRPr="00DF4952">
              <w:t>Standard 4 – Information Access</w:t>
            </w:r>
          </w:p>
        </w:tc>
        <w:tc>
          <w:tcPr>
            <w:tcW w:w="3208" w:type="dxa"/>
            <w:shd w:val="clear" w:color="auto" w:fill="E9E5E2"/>
          </w:tcPr>
          <w:p w14:paraId="11A47095" w14:textId="6B8FFEEE" w:rsidR="00DF6BC0" w:rsidRPr="00DF4952" w:rsidRDefault="00DF6BC0" w:rsidP="00DF6BC0">
            <w:pPr>
              <w:rPr>
                <w:color w:val="595959" w:themeColor="text1" w:themeTint="A6"/>
                <w:sz w:val="22"/>
                <w:szCs w:val="22"/>
              </w:rPr>
            </w:pPr>
            <w:r w:rsidRPr="00DF4952">
              <w:rPr>
                <w:color w:val="595959" w:themeColor="text1" w:themeTint="A6"/>
                <w:sz w:val="22"/>
                <w:szCs w:val="22"/>
              </w:rPr>
              <w:t>To formally authorise and manage the physical and logical access to public sector information</w:t>
            </w:r>
            <w:r w:rsidRPr="00DF4952">
              <w:rPr>
                <w:color w:val="595959" w:themeColor="text1" w:themeTint="A6"/>
                <w:sz w:val="22"/>
                <w:szCs w:val="22"/>
                <w:lang w:eastAsia="en-AU"/>
              </w:rPr>
              <w:t>.</w:t>
            </w:r>
          </w:p>
        </w:tc>
      </w:tr>
      <w:tr w:rsidR="00DF6BC0" w14:paraId="425AAF14" w14:textId="77777777" w:rsidTr="00BB7D9B">
        <w:tc>
          <w:tcPr>
            <w:tcW w:w="3207" w:type="dxa"/>
            <w:shd w:val="clear" w:color="auto" w:fill="E9E5E2"/>
          </w:tcPr>
          <w:p w14:paraId="0E33EE92" w14:textId="77777777" w:rsidR="00DF6BC0" w:rsidRPr="00DF6BC0" w:rsidRDefault="00DF6BC0" w:rsidP="003E2D83">
            <w:pPr>
              <w:pStyle w:val="BodyCopy"/>
              <w:spacing w:before="0" w:after="0"/>
              <w:ind w:right="113"/>
              <w:rPr>
                <w:b/>
                <w:bCs/>
                <w:color w:val="EA1D88"/>
              </w:rPr>
            </w:pPr>
            <w:r w:rsidRPr="00DF6BC0">
              <w:rPr>
                <w:b/>
                <w:bCs/>
                <w:color w:val="EA1D88"/>
              </w:rPr>
              <w:t>5</w:t>
            </w:r>
          </w:p>
          <w:p w14:paraId="7C3A7564" w14:textId="7953FF1F" w:rsidR="00DF6BC0" w:rsidRPr="00DF6BC0" w:rsidRDefault="00DF6BC0" w:rsidP="00DF6BC0">
            <w:pPr>
              <w:rPr>
                <w:sz w:val="22"/>
                <w:szCs w:val="22"/>
              </w:rPr>
            </w:pPr>
            <w:r w:rsidRPr="00DF6BC0">
              <w:rPr>
                <w:b/>
                <w:bCs/>
                <w:color w:val="EA1D88"/>
                <w:sz w:val="22"/>
                <w:szCs w:val="22"/>
              </w:rPr>
              <w:t>Information Security Obligations</w:t>
            </w:r>
          </w:p>
        </w:tc>
        <w:tc>
          <w:tcPr>
            <w:tcW w:w="3207" w:type="dxa"/>
            <w:shd w:val="clear" w:color="auto" w:fill="E9E5E2"/>
          </w:tcPr>
          <w:p w14:paraId="266F4F49" w14:textId="77777777" w:rsidR="00DF6BC0" w:rsidRPr="00DF6BC0" w:rsidRDefault="00DF6BC0" w:rsidP="00DF6BC0">
            <w:pPr>
              <w:pStyle w:val="BodyCopy"/>
              <w:spacing w:before="0" w:after="0"/>
            </w:pPr>
            <w:r w:rsidRPr="00DF6BC0">
              <w:t>Standard 5 – Security Obligations</w:t>
            </w:r>
          </w:p>
          <w:p w14:paraId="69B665DA" w14:textId="17416349" w:rsidR="00DF6BC0" w:rsidRPr="00DF4952" w:rsidRDefault="00DF6BC0" w:rsidP="00DF4952">
            <w:pPr>
              <w:pStyle w:val="BodyCopy"/>
            </w:pPr>
            <w:r w:rsidRPr="00DF4952">
              <w:t>Standard 6 – Security Training and Awareness</w:t>
            </w:r>
          </w:p>
        </w:tc>
        <w:tc>
          <w:tcPr>
            <w:tcW w:w="3208" w:type="dxa"/>
            <w:shd w:val="clear" w:color="auto" w:fill="E9E5E2"/>
          </w:tcPr>
          <w:p w14:paraId="156E4506" w14:textId="428AB119" w:rsidR="00DF6BC0" w:rsidRPr="00DF4952" w:rsidRDefault="00DF6BC0" w:rsidP="00DF6BC0">
            <w:pPr>
              <w:rPr>
                <w:color w:val="595959" w:themeColor="text1" w:themeTint="A6"/>
                <w:sz w:val="22"/>
                <w:szCs w:val="22"/>
              </w:rPr>
            </w:pPr>
            <w:r w:rsidRPr="00DF4952">
              <w:rPr>
                <w:color w:val="595959" w:themeColor="text1" w:themeTint="A6"/>
                <w:sz w:val="22"/>
                <w:szCs w:val="22"/>
                <w:lang w:eastAsia="en-AU"/>
              </w:rPr>
              <w:t>To create and maintain a strong security culture by ensuring that all persons understand the importance of information security across all the security areas and their obligations for protecting public sector information.</w:t>
            </w:r>
          </w:p>
        </w:tc>
      </w:tr>
      <w:tr w:rsidR="00DF6BC0" w14:paraId="3714DCA0" w14:textId="77777777" w:rsidTr="00BB7D9B">
        <w:tc>
          <w:tcPr>
            <w:tcW w:w="3207" w:type="dxa"/>
            <w:shd w:val="clear" w:color="auto" w:fill="E9E5E2"/>
          </w:tcPr>
          <w:p w14:paraId="5DB8F428" w14:textId="77777777" w:rsidR="00DF6BC0" w:rsidRPr="00DF6BC0" w:rsidRDefault="00DF6BC0" w:rsidP="003E2D83">
            <w:pPr>
              <w:pStyle w:val="BodyCopy"/>
              <w:spacing w:before="0" w:after="0"/>
              <w:ind w:right="113"/>
              <w:rPr>
                <w:b/>
                <w:bCs/>
                <w:color w:val="EA1D88"/>
              </w:rPr>
            </w:pPr>
            <w:r w:rsidRPr="00DF6BC0">
              <w:rPr>
                <w:b/>
                <w:bCs/>
                <w:color w:val="EA1D88"/>
              </w:rPr>
              <w:lastRenderedPageBreak/>
              <w:t>6</w:t>
            </w:r>
          </w:p>
          <w:p w14:paraId="2BFB5913" w14:textId="1B7B87D6" w:rsidR="00DF6BC0" w:rsidRPr="00DF6BC0" w:rsidRDefault="00DF6BC0" w:rsidP="00DF6BC0">
            <w:pPr>
              <w:rPr>
                <w:sz w:val="22"/>
                <w:szCs w:val="22"/>
              </w:rPr>
            </w:pPr>
            <w:r w:rsidRPr="00DF6BC0">
              <w:rPr>
                <w:b/>
                <w:bCs/>
                <w:color w:val="EA1D88"/>
                <w:sz w:val="22"/>
                <w:szCs w:val="22"/>
              </w:rPr>
              <w:t>Information Security Incident Management</w:t>
            </w:r>
          </w:p>
        </w:tc>
        <w:tc>
          <w:tcPr>
            <w:tcW w:w="3207" w:type="dxa"/>
            <w:shd w:val="clear" w:color="auto" w:fill="E9E5E2"/>
          </w:tcPr>
          <w:p w14:paraId="6D16E665" w14:textId="77777777" w:rsidR="00DF6BC0" w:rsidRPr="00DF6BC0" w:rsidRDefault="00DF6BC0" w:rsidP="00DF6BC0">
            <w:pPr>
              <w:pStyle w:val="BodyCopy"/>
              <w:spacing w:before="0" w:after="0"/>
              <w:rPr>
                <w:rFonts w:asciiTheme="minorHAnsi" w:hAnsiTheme="minorHAnsi" w:cstheme="minorHAnsi"/>
              </w:rPr>
            </w:pPr>
            <w:r w:rsidRPr="00DF6BC0">
              <w:rPr>
                <w:rFonts w:asciiTheme="minorHAnsi" w:hAnsiTheme="minorHAnsi" w:cstheme="minorHAnsi"/>
              </w:rPr>
              <w:t>Standard 7 – Security Incident Management</w:t>
            </w:r>
          </w:p>
          <w:p w14:paraId="6494FA54" w14:textId="77777777" w:rsidR="00DF6BC0" w:rsidRPr="00DF6BC0" w:rsidRDefault="00DF6BC0" w:rsidP="00DF6BC0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  <w:shd w:val="clear" w:color="auto" w:fill="E9E5E2"/>
          </w:tcPr>
          <w:p w14:paraId="42544CD8" w14:textId="22919FBD" w:rsidR="00DF6BC0" w:rsidRPr="00DF4952" w:rsidRDefault="00DF6BC0" w:rsidP="00DF6BC0">
            <w:pPr>
              <w:rPr>
                <w:color w:val="595959" w:themeColor="text1" w:themeTint="A6"/>
                <w:sz w:val="22"/>
                <w:szCs w:val="22"/>
              </w:rPr>
            </w:pPr>
            <w:r w:rsidRPr="00DF4952">
              <w:rPr>
                <w:color w:val="595959" w:themeColor="text1" w:themeTint="A6"/>
                <w:sz w:val="22"/>
                <w:szCs w:val="22"/>
                <w:lang w:eastAsia="en-AU"/>
              </w:rPr>
              <w:t>To ensure a consistent approach for managing information security incidents, in order to minimise harm/damage to government operations, organisations or individuals.</w:t>
            </w:r>
          </w:p>
        </w:tc>
      </w:tr>
      <w:tr w:rsidR="00DF6BC0" w14:paraId="72DECE26" w14:textId="77777777" w:rsidTr="00BB7D9B">
        <w:tc>
          <w:tcPr>
            <w:tcW w:w="3207" w:type="dxa"/>
            <w:shd w:val="clear" w:color="auto" w:fill="E9E5E2"/>
          </w:tcPr>
          <w:p w14:paraId="18F2E0B4" w14:textId="77777777" w:rsidR="00DF6BC0" w:rsidRPr="00DF6BC0" w:rsidRDefault="00DF6BC0" w:rsidP="003E2D83">
            <w:pPr>
              <w:pStyle w:val="BodyCopy"/>
              <w:spacing w:before="0" w:after="0"/>
              <w:ind w:right="113"/>
              <w:rPr>
                <w:b/>
                <w:bCs/>
                <w:color w:val="EA1D88"/>
              </w:rPr>
            </w:pPr>
            <w:r w:rsidRPr="00DF6BC0">
              <w:rPr>
                <w:b/>
                <w:bCs/>
                <w:color w:val="EA1D88"/>
              </w:rPr>
              <w:t>7</w:t>
            </w:r>
          </w:p>
          <w:p w14:paraId="3660BE04" w14:textId="38A31BEE" w:rsidR="00DF6BC0" w:rsidRPr="00DF6BC0" w:rsidRDefault="00DF6BC0" w:rsidP="00DF6BC0">
            <w:pPr>
              <w:rPr>
                <w:sz w:val="22"/>
                <w:szCs w:val="22"/>
              </w:rPr>
            </w:pPr>
            <w:r w:rsidRPr="00DF6BC0">
              <w:rPr>
                <w:b/>
                <w:bCs/>
                <w:color w:val="EA1D88"/>
                <w:sz w:val="22"/>
                <w:szCs w:val="22"/>
              </w:rPr>
              <w:t>Information Security Aspects of Business Continuity and Disaster Recovery</w:t>
            </w:r>
          </w:p>
        </w:tc>
        <w:tc>
          <w:tcPr>
            <w:tcW w:w="3207" w:type="dxa"/>
            <w:shd w:val="clear" w:color="auto" w:fill="E9E5E2"/>
          </w:tcPr>
          <w:p w14:paraId="38667BC4" w14:textId="647343D3" w:rsidR="00DF6BC0" w:rsidRPr="00DF4952" w:rsidRDefault="00DF6BC0" w:rsidP="00DF4952">
            <w:pPr>
              <w:pStyle w:val="BodyCopy"/>
            </w:pPr>
            <w:r w:rsidRPr="00DF4952">
              <w:t>Standard 8 – Business Continuity Management</w:t>
            </w:r>
          </w:p>
        </w:tc>
        <w:tc>
          <w:tcPr>
            <w:tcW w:w="3208" w:type="dxa"/>
            <w:shd w:val="clear" w:color="auto" w:fill="E9E5E2"/>
          </w:tcPr>
          <w:p w14:paraId="4EA6DFA6" w14:textId="34FDED64" w:rsidR="00DF6BC0" w:rsidRPr="00DF4952" w:rsidRDefault="00DF6BC0" w:rsidP="00DF6BC0">
            <w:pPr>
              <w:rPr>
                <w:color w:val="595959" w:themeColor="text1" w:themeTint="A6"/>
                <w:sz w:val="22"/>
                <w:szCs w:val="22"/>
              </w:rPr>
            </w:pPr>
            <w:r w:rsidRPr="00DF4952">
              <w:rPr>
                <w:color w:val="595959" w:themeColor="text1" w:themeTint="A6"/>
                <w:sz w:val="22"/>
                <w:szCs w:val="22"/>
                <w:lang w:eastAsia="en-AU"/>
              </w:rPr>
              <w:t>To enhance an organisation’s capability to prevent, prepare, respond, manage and recover from any event that affects the confidentiality, integrity and availability of public sector information.</w:t>
            </w:r>
          </w:p>
        </w:tc>
      </w:tr>
      <w:tr w:rsidR="00DF6BC0" w14:paraId="044BFF90" w14:textId="77777777" w:rsidTr="00BB7D9B">
        <w:tc>
          <w:tcPr>
            <w:tcW w:w="3207" w:type="dxa"/>
            <w:shd w:val="clear" w:color="auto" w:fill="E9E5E2"/>
          </w:tcPr>
          <w:p w14:paraId="0C88D2D9" w14:textId="77777777" w:rsidR="00DF6BC0" w:rsidRPr="00DF6BC0" w:rsidRDefault="00DF6BC0" w:rsidP="003E2D83">
            <w:pPr>
              <w:pStyle w:val="BodyCopy"/>
              <w:spacing w:before="0" w:after="0"/>
              <w:ind w:right="113"/>
              <w:rPr>
                <w:b/>
                <w:bCs/>
                <w:color w:val="EA1D88"/>
              </w:rPr>
            </w:pPr>
            <w:r w:rsidRPr="00DF6BC0">
              <w:rPr>
                <w:b/>
                <w:bCs/>
                <w:color w:val="EA1D88"/>
              </w:rPr>
              <w:t>8</w:t>
            </w:r>
          </w:p>
          <w:p w14:paraId="689788C1" w14:textId="780D872D" w:rsidR="00DF6BC0" w:rsidRPr="00DF6BC0" w:rsidRDefault="00DF6BC0" w:rsidP="00DF6BC0">
            <w:pPr>
              <w:rPr>
                <w:sz w:val="22"/>
                <w:szCs w:val="22"/>
              </w:rPr>
            </w:pPr>
            <w:r w:rsidRPr="00DF6BC0">
              <w:rPr>
                <w:b/>
                <w:bCs/>
                <w:color w:val="EA1D88"/>
                <w:sz w:val="22"/>
                <w:szCs w:val="22"/>
              </w:rPr>
              <w:t>Third Party Arrangements</w:t>
            </w:r>
          </w:p>
        </w:tc>
        <w:tc>
          <w:tcPr>
            <w:tcW w:w="3207" w:type="dxa"/>
            <w:shd w:val="clear" w:color="auto" w:fill="E9E5E2"/>
          </w:tcPr>
          <w:p w14:paraId="3A07B9F7" w14:textId="77777777" w:rsidR="00DF6BC0" w:rsidRPr="00DF6BC0" w:rsidRDefault="00DF6BC0" w:rsidP="00DF6BC0">
            <w:pPr>
              <w:pStyle w:val="BodyCopy"/>
              <w:spacing w:before="0" w:after="0"/>
              <w:rPr>
                <w:rFonts w:asciiTheme="minorHAnsi" w:hAnsiTheme="minorHAnsi" w:cstheme="minorHAnsi"/>
              </w:rPr>
            </w:pPr>
            <w:r w:rsidRPr="00DF6BC0">
              <w:rPr>
                <w:rFonts w:asciiTheme="minorHAnsi" w:hAnsiTheme="minorHAnsi" w:cstheme="minorHAnsi"/>
              </w:rPr>
              <w:t>Standard 9 – Contracted Service Providers</w:t>
            </w:r>
          </w:p>
          <w:p w14:paraId="557612DE" w14:textId="77777777" w:rsidR="00DF6BC0" w:rsidRPr="00DF6BC0" w:rsidRDefault="00DF6BC0" w:rsidP="00DF6BC0">
            <w:pPr>
              <w:pStyle w:val="BodyCopy"/>
              <w:spacing w:before="0" w:after="0"/>
              <w:rPr>
                <w:rFonts w:asciiTheme="minorHAnsi" w:hAnsiTheme="minorHAnsi" w:cstheme="minorHAnsi"/>
              </w:rPr>
            </w:pPr>
            <w:r w:rsidRPr="00DF6BC0">
              <w:rPr>
                <w:rFonts w:asciiTheme="minorHAnsi" w:hAnsiTheme="minorHAnsi" w:cstheme="minorHAnsi"/>
              </w:rPr>
              <w:t>Standard 10 – Government Services</w:t>
            </w:r>
          </w:p>
          <w:p w14:paraId="1866452F" w14:textId="2DBEBC32" w:rsidR="00DF6BC0" w:rsidRPr="00DF4952" w:rsidRDefault="00DF6BC0" w:rsidP="00DF4952">
            <w:pPr>
              <w:pStyle w:val="BodyCopy"/>
            </w:pPr>
            <w:r w:rsidRPr="00DF4952">
              <w:t>Standard 15 – Information Sharing</w:t>
            </w:r>
          </w:p>
        </w:tc>
        <w:tc>
          <w:tcPr>
            <w:tcW w:w="3208" w:type="dxa"/>
            <w:shd w:val="clear" w:color="auto" w:fill="E9E5E2"/>
          </w:tcPr>
          <w:p w14:paraId="2678D339" w14:textId="09469313" w:rsidR="00DF6BC0" w:rsidRPr="00DF4952" w:rsidRDefault="00DF6BC0" w:rsidP="00DF6BC0">
            <w:pPr>
              <w:rPr>
                <w:color w:val="595959" w:themeColor="text1" w:themeTint="A6"/>
                <w:sz w:val="22"/>
                <w:szCs w:val="22"/>
              </w:rPr>
            </w:pPr>
            <w:r w:rsidRPr="00DF4952">
              <w:rPr>
                <w:color w:val="595959" w:themeColor="text1" w:themeTint="A6"/>
                <w:sz w:val="22"/>
                <w:szCs w:val="22"/>
                <w:lang w:eastAsia="en-AU"/>
              </w:rPr>
              <w:t>To confirm that the organisation’s public sector information is protected when the organisation interacts with a third party.</w:t>
            </w:r>
          </w:p>
        </w:tc>
      </w:tr>
      <w:tr w:rsidR="00DF6BC0" w14:paraId="161E2C1D" w14:textId="77777777" w:rsidTr="00BB7D9B">
        <w:tc>
          <w:tcPr>
            <w:tcW w:w="3207" w:type="dxa"/>
            <w:shd w:val="clear" w:color="auto" w:fill="E9E5E2"/>
          </w:tcPr>
          <w:p w14:paraId="7384E943" w14:textId="77777777" w:rsidR="00DF6BC0" w:rsidRPr="00DF6BC0" w:rsidRDefault="00DF6BC0" w:rsidP="003E2D83">
            <w:pPr>
              <w:pStyle w:val="BodyCopy"/>
              <w:spacing w:before="0" w:after="0"/>
              <w:ind w:right="113"/>
              <w:rPr>
                <w:b/>
                <w:bCs/>
                <w:color w:val="EA1D88"/>
              </w:rPr>
            </w:pPr>
            <w:r w:rsidRPr="00DF6BC0">
              <w:rPr>
                <w:b/>
                <w:bCs/>
                <w:color w:val="EA1D88"/>
              </w:rPr>
              <w:t>9</w:t>
            </w:r>
          </w:p>
          <w:p w14:paraId="1749D590" w14:textId="4CF5935E" w:rsidR="00DF6BC0" w:rsidRPr="00DF6BC0" w:rsidRDefault="00DF6BC0" w:rsidP="00DF6BC0">
            <w:pPr>
              <w:rPr>
                <w:sz w:val="22"/>
                <w:szCs w:val="22"/>
              </w:rPr>
            </w:pPr>
            <w:r w:rsidRPr="00DF6BC0">
              <w:rPr>
                <w:b/>
                <w:bCs/>
                <w:iCs/>
                <w:color w:val="EA1D88"/>
                <w:sz w:val="22"/>
                <w:szCs w:val="22"/>
              </w:rPr>
              <w:t>Information Security Reporting to OVIC</w:t>
            </w:r>
          </w:p>
        </w:tc>
        <w:tc>
          <w:tcPr>
            <w:tcW w:w="3207" w:type="dxa"/>
            <w:shd w:val="clear" w:color="auto" w:fill="E9E5E2"/>
          </w:tcPr>
          <w:p w14:paraId="0692BA2D" w14:textId="042369E0" w:rsidR="00DF6BC0" w:rsidRPr="00DF4952" w:rsidRDefault="00DF6BC0" w:rsidP="00DF4952">
            <w:pPr>
              <w:pStyle w:val="BodyCopy"/>
            </w:pPr>
            <w:r w:rsidRPr="00DF4952">
              <w:t>Standard 12 - Compliance</w:t>
            </w:r>
          </w:p>
        </w:tc>
        <w:tc>
          <w:tcPr>
            <w:tcW w:w="3208" w:type="dxa"/>
            <w:shd w:val="clear" w:color="auto" w:fill="E9E5E2"/>
          </w:tcPr>
          <w:p w14:paraId="45FD010D" w14:textId="5DA158FE" w:rsidR="00DF6BC0" w:rsidRPr="00DF4952" w:rsidRDefault="00DF6BC0" w:rsidP="00DF6BC0">
            <w:pPr>
              <w:rPr>
                <w:color w:val="595959" w:themeColor="text1" w:themeTint="A6"/>
                <w:sz w:val="22"/>
                <w:szCs w:val="22"/>
              </w:rPr>
            </w:pPr>
            <w:r w:rsidRPr="00DF4952">
              <w:rPr>
                <w:color w:val="595959" w:themeColor="text1" w:themeTint="A6"/>
                <w:sz w:val="22"/>
                <w:szCs w:val="22"/>
                <w:lang w:eastAsia="en-AU"/>
              </w:rPr>
              <w:t>To promote the organisation’s security capability and ensure adequate tracking of its exposure to information security risks.</w:t>
            </w:r>
          </w:p>
        </w:tc>
      </w:tr>
      <w:tr w:rsidR="00DF6BC0" w14:paraId="2D09C7F5" w14:textId="77777777" w:rsidTr="00BB7D9B">
        <w:tc>
          <w:tcPr>
            <w:tcW w:w="3207" w:type="dxa"/>
            <w:shd w:val="clear" w:color="auto" w:fill="E9E5E2"/>
          </w:tcPr>
          <w:p w14:paraId="345047EA" w14:textId="77777777" w:rsidR="00DF6BC0" w:rsidRPr="00DF6BC0" w:rsidRDefault="00DF6BC0" w:rsidP="003E2D83">
            <w:pPr>
              <w:pStyle w:val="BodyCopy"/>
              <w:spacing w:before="0" w:after="0"/>
              <w:ind w:right="113"/>
              <w:rPr>
                <w:b/>
                <w:bCs/>
                <w:color w:val="EA1D88"/>
              </w:rPr>
            </w:pPr>
            <w:r w:rsidRPr="00DF6BC0">
              <w:rPr>
                <w:b/>
                <w:bCs/>
                <w:color w:val="EA1D88"/>
              </w:rPr>
              <w:t>10</w:t>
            </w:r>
          </w:p>
          <w:p w14:paraId="1E8F0697" w14:textId="06E3A704" w:rsidR="00DF6BC0" w:rsidRPr="00DF6BC0" w:rsidRDefault="00DF6BC0" w:rsidP="00DF6BC0">
            <w:pPr>
              <w:rPr>
                <w:sz w:val="22"/>
                <w:szCs w:val="22"/>
              </w:rPr>
            </w:pPr>
            <w:r w:rsidRPr="00DF6BC0">
              <w:rPr>
                <w:b/>
                <w:bCs/>
                <w:color w:val="EA1D88"/>
                <w:sz w:val="22"/>
                <w:szCs w:val="22"/>
              </w:rPr>
              <w:t>Personnel Security</w:t>
            </w:r>
          </w:p>
        </w:tc>
        <w:tc>
          <w:tcPr>
            <w:tcW w:w="3207" w:type="dxa"/>
            <w:shd w:val="clear" w:color="auto" w:fill="E9E5E2"/>
          </w:tcPr>
          <w:p w14:paraId="6FFC8F37" w14:textId="668AF11C" w:rsidR="00DF6BC0" w:rsidRPr="00DF4952" w:rsidRDefault="00DF6BC0" w:rsidP="00DF4952">
            <w:pPr>
              <w:pStyle w:val="BodyCopy"/>
            </w:pPr>
            <w:r w:rsidRPr="00DF4952">
              <w:t>Standard 16 – Personnel Lifecycle</w:t>
            </w:r>
          </w:p>
        </w:tc>
        <w:tc>
          <w:tcPr>
            <w:tcW w:w="3208" w:type="dxa"/>
            <w:shd w:val="clear" w:color="auto" w:fill="E9E5E2"/>
          </w:tcPr>
          <w:p w14:paraId="470F324E" w14:textId="7B50A2E6" w:rsidR="00DF6BC0" w:rsidRPr="00DF4952" w:rsidRDefault="00DF6BC0" w:rsidP="00DF6BC0">
            <w:pPr>
              <w:rPr>
                <w:color w:val="595959" w:themeColor="text1" w:themeTint="A6"/>
                <w:sz w:val="22"/>
                <w:szCs w:val="22"/>
              </w:rPr>
            </w:pPr>
            <w:r w:rsidRPr="00DF4952">
              <w:rPr>
                <w:color w:val="595959" w:themeColor="text1" w:themeTint="A6"/>
                <w:sz w:val="22"/>
                <w:szCs w:val="22"/>
              </w:rPr>
              <w:t>To mitigate an organisation’s personnel security risks and provide a consistent approach for managing all persons with access to public sector information.</w:t>
            </w:r>
          </w:p>
        </w:tc>
      </w:tr>
      <w:tr w:rsidR="00DF6BC0" w14:paraId="44A3E309" w14:textId="77777777" w:rsidTr="00BB7D9B">
        <w:tc>
          <w:tcPr>
            <w:tcW w:w="3207" w:type="dxa"/>
            <w:shd w:val="clear" w:color="auto" w:fill="E9E5E2"/>
          </w:tcPr>
          <w:p w14:paraId="5F8648B0" w14:textId="77777777" w:rsidR="00DF6BC0" w:rsidRPr="00DF6BC0" w:rsidRDefault="00DF6BC0" w:rsidP="003E2D83">
            <w:pPr>
              <w:pStyle w:val="BodyCopy"/>
              <w:spacing w:before="0" w:after="0"/>
              <w:ind w:right="113"/>
              <w:rPr>
                <w:b/>
                <w:bCs/>
                <w:color w:val="EA1D88"/>
              </w:rPr>
            </w:pPr>
            <w:r w:rsidRPr="00DF6BC0">
              <w:rPr>
                <w:b/>
                <w:bCs/>
                <w:color w:val="EA1D88"/>
              </w:rPr>
              <w:t>11</w:t>
            </w:r>
          </w:p>
          <w:p w14:paraId="76BF7BB8" w14:textId="3D9F80F2" w:rsidR="00DF6BC0" w:rsidRPr="00DF6BC0" w:rsidRDefault="00DF6BC0" w:rsidP="00DF6BC0">
            <w:pPr>
              <w:rPr>
                <w:sz w:val="22"/>
                <w:szCs w:val="22"/>
              </w:rPr>
            </w:pPr>
            <w:r w:rsidRPr="00DF6BC0">
              <w:rPr>
                <w:b/>
                <w:bCs/>
                <w:color w:val="EA1D88"/>
                <w:sz w:val="22"/>
                <w:szCs w:val="22"/>
              </w:rPr>
              <w:t>ICT Security</w:t>
            </w:r>
          </w:p>
        </w:tc>
        <w:tc>
          <w:tcPr>
            <w:tcW w:w="3207" w:type="dxa"/>
            <w:shd w:val="clear" w:color="auto" w:fill="E9E5E2"/>
          </w:tcPr>
          <w:p w14:paraId="2AFA37DC" w14:textId="2B22AB2B" w:rsidR="00DF6BC0" w:rsidRPr="00DF4952" w:rsidRDefault="00DF6BC0" w:rsidP="00DF4952">
            <w:pPr>
              <w:pStyle w:val="BodyCopy"/>
            </w:pPr>
            <w:r w:rsidRPr="00DF4952">
              <w:t>Standard 17 – Information Communications Technology (ICT) Lifecycle</w:t>
            </w:r>
          </w:p>
        </w:tc>
        <w:tc>
          <w:tcPr>
            <w:tcW w:w="3208" w:type="dxa"/>
            <w:shd w:val="clear" w:color="auto" w:fill="E9E5E2"/>
          </w:tcPr>
          <w:p w14:paraId="5C3DA9B1" w14:textId="6C0D4FA2" w:rsidR="00DF6BC0" w:rsidRPr="00DF4952" w:rsidRDefault="00DF6BC0" w:rsidP="00DF6BC0">
            <w:pPr>
              <w:rPr>
                <w:color w:val="595959" w:themeColor="text1" w:themeTint="A6"/>
                <w:sz w:val="22"/>
                <w:szCs w:val="22"/>
              </w:rPr>
            </w:pPr>
            <w:r w:rsidRPr="00DF4952">
              <w:rPr>
                <w:color w:val="595959" w:themeColor="text1" w:themeTint="A6"/>
                <w:sz w:val="22"/>
                <w:szCs w:val="22"/>
                <w:lang w:eastAsia="en-AU"/>
              </w:rPr>
              <w:t xml:space="preserve">To </w:t>
            </w:r>
            <w:r w:rsidRPr="00DF4952">
              <w:rPr>
                <w:color w:val="595959" w:themeColor="text1" w:themeTint="A6"/>
                <w:sz w:val="22"/>
                <w:szCs w:val="22"/>
              </w:rPr>
              <w:t>maintain a secure environment by protecting the organisation’s public sector information through ICT security controls</w:t>
            </w:r>
            <w:r w:rsidRPr="00DF4952">
              <w:rPr>
                <w:color w:val="595959" w:themeColor="text1" w:themeTint="A6"/>
                <w:sz w:val="22"/>
                <w:szCs w:val="22"/>
                <w:lang w:eastAsia="en-AU"/>
              </w:rPr>
              <w:t>.</w:t>
            </w:r>
          </w:p>
        </w:tc>
      </w:tr>
      <w:tr w:rsidR="00DF6BC0" w14:paraId="79896951" w14:textId="77777777" w:rsidTr="00BB7D9B">
        <w:tc>
          <w:tcPr>
            <w:tcW w:w="3207" w:type="dxa"/>
            <w:shd w:val="clear" w:color="auto" w:fill="E9E5E2"/>
          </w:tcPr>
          <w:p w14:paraId="55B4F0D6" w14:textId="77777777" w:rsidR="00DF6BC0" w:rsidRPr="00DF6BC0" w:rsidRDefault="00DF6BC0" w:rsidP="003E2D83">
            <w:pPr>
              <w:pStyle w:val="BodyCopy"/>
              <w:spacing w:before="0" w:after="0"/>
              <w:ind w:right="113"/>
              <w:rPr>
                <w:b/>
                <w:bCs/>
                <w:color w:val="EA1D88"/>
              </w:rPr>
            </w:pPr>
            <w:r w:rsidRPr="00DF6BC0">
              <w:rPr>
                <w:b/>
                <w:bCs/>
                <w:color w:val="EA1D88"/>
              </w:rPr>
              <w:t>12</w:t>
            </w:r>
          </w:p>
          <w:p w14:paraId="5E49B426" w14:textId="19882CAB" w:rsidR="00DF6BC0" w:rsidRPr="00DF6BC0" w:rsidRDefault="00DF6BC0" w:rsidP="00DF6BC0">
            <w:pPr>
              <w:rPr>
                <w:sz w:val="22"/>
                <w:szCs w:val="22"/>
              </w:rPr>
            </w:pPr>
            <w:r w:rsidRPr="00DF6BC0">
              <w:rPr>
                <w:b/>
                <w:bCs/>
                <w:color w:val="EA1D88"/>
                <w:sz w:val="22"/>
                <w:szCs w:val="22"/>
              </w:rPr>
              <w:t>Physical Security</w:t>
            </w:r>
          </w:p>
        </w:tc>
        <w:tc>
          <w:tcPr>
            <w:tcW w:w="3207" w:type="dxa"/>
            <w:shd w:val="clear" w:color="auto" w:fill="E9E5E2"/>
          </w:tcPr>
          <w:p w14:paraId="4C90F483" w14:textId="18265751" w:rsidR="00DF6BC0" w:rsidRPr="00DF4952" w:rsidRDefault="00DF6BC0" w:rsidP="00DF4952">
            <w:pPr>
              <w:pStyle w:val="BodyCopy"/>
            </w:pPr>
            <w:r w:rsidRPr="00DF4952">
              <w:t>Standard 18 – Physical Lifecycle</w:t>
            </w:r>
          </w:p>
        </w:tc>
        <w:tc>
          <w:tcPr>
            <w:tcW w:w="3208" w:type="dxa"/>
            <w:shd w:val="clear" w:color="auto" w:fill="E9E5E2"/>
          </w:tcPr>
          <w:p w14:paraId="70013634" w14:textId="11F084F0" w:rsidR="00DF6BC0" w:rsidRPr="00DF4952" w:rsidRDefault="00DF6BC0" w:rsidP="00DF6BC0">
            <w:pPr>
              <w:rPr>
                <w:color w:val="595959" w:themeColor="text1" w:themeTint="A6"/>
                <w:sz w:val="22"/>
                <w:szCs w:val="22"/>
              </w:rPr>
            </w:pPr>
            <w:r w:rsidRPr="00DF4952">
              <w:rPr>
                <w:color w:val="595959" w:themeColor="text1" w:themeTint="A6"/>
                <w:sz w:val="22"/>
                <w:szCs w:val="22"/>
                <w:lang w:eastAsia="en-AU"/>
              </w:rPr>
              <w:t xml:space="preserve">To </w:t>
            </w:r>
            <w:r w:rsidRPr="00DF4952">
              <w:rPr>
                <w:color w:val="595959" w:themeColor="text1" w:themeTint="A6"/>
                <w:sz w:val="22"/>
                <w:szCs w:val="22"/>
              </w:rPr>
              <w:t>maintain a secure environment by protecting the organisation’s public sector information through physical security controls</w:t>
            </w:r>
            <w:r w:rsidRPr="00DF4952">
              <w:rPr>
                <w:color w:val="595959" w:themeColor="text1" w:themeTint="A6"/>
                <w:sz w:val="22"/>
                <w:szCs w:val="22"/>
                <w:lang w:eastAsia="en-AU"/>
              </w:rPr>
              <w:t>.</w:t>
            </w:r>
          </w:p>
        </w:tc>
      </w:tr>
    </w:tbl>
    <w:p w14:paraId="47B7B0BA" w14:textId="77777777" w:rsidR="00765588" w:rsidRDefault="00765588" w:rsidP="00F36C34">
      <w:pPr>
        <w:ind w:right="-7"/>
        <w:rPr>
          <w:color w:val="555559"/>
          <w:lang w:val="en-US"/>
        </w:rPr>
      </w:pPr>
    </w:p>
    <w:p w14:paraId="11055124" w14:textId="77777777" w:rsidR="00765588" w:rsidRDefault="00765588">
      <w:pPr>
        <w:rPr>
          <w:rFonts w:cs="PostGrotesk-Medium"/>
          <w:color w:val="430098"/>
          <w:sz w:val="28"/>
          <w:szCs w:val="28"/>
        </w:rPr>
      </w:pPr>
      <w:r>
        <w:br w:type="page"/>
      </w:r>
    </w:p>
    <w:p w14:paraId="4D8A3A69" w14:textId="77777777" w:rsidR="00672B09" w:rsidRDefault="00672B09" w:rsidP="00476885">
      <w:pPr>
        <w:pStyle w:val="SectionHeading1"/>
        <w:sectPr w:rsidR="00672B09" w:rsidSect="00584EFC">
          <w:footerReference w:type="default" r:id="rId10"/>
          <w:footerReference w:type="first" r:id="rId11"/>
          <w:pgSz w:w="11900" w:h="16840"/>
          <w:pgMar w:top="840" w:right="1134" w:bottom="1134" w:left="1134" w:header="964" w:footer="479" w:gutter="0"/>
          <w:cols w:space="720"/>
          <w:titlePg/>
          <w:docGrid w:linePitch="360"/>
        </w:sectPr>
      </w:pPr>
    </w:p>
    <w:p w14:paraId="5C9FE692" w14:textId="1F1131AA" w:rsidR="00476885" w:rsidRDefault="00476885" w:rsidP="00476885">
      <w:pPr>
        <w:pStyle w:val="SectionHeading1"/>
      </w:pPr>
      <w:r>
        <w:lastRenderedPageBreak/>
        <w:t>VPDSS Mapping Visual Aid</w:t>
      </w:r>
    </w:p>
    <w:p w14:paraId="6D6FE7CA" w14:textId="1CE53C51" w:rsidR="000677DA" w:rsidRDefault="00672B09" w:rsidP="00765588">
      <w:pPr>
        <w:pStyle w:val="Section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387090" wp14:editId="44BC4F24">
                <wp:simplePos x="0" y="0"/>
                <wp:positionH relativeFrom="column">
                  <wp:posOffset>5282571</wp:posOffset>
                </wp:positionH>
                <wp:positionV relativeFrom="paragraph">
                  <wp:posOffset>772160</wp:posOffset>
                </wp:positionV>
                <wp:extent cx="0" cy="4995664"/>
                <wp:effectExtent l="12700" t="0" r="12700" b="209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566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81D92" id="Straight Connector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5.95pt,60.8pt" to="415.95pt,45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" strokecolor="black [3213]" strokeweight="2.25pt">
                <v:stroke dashstyle="3 1"/>
              </v:line>
            </w:pict>
          </mc:Fallback>
        </mc:AlternateContent>
      </w:r>
      <w:r w:rsidR="00765588">
        <w:rPr>
          <w:noProof/>
        </w:rPr>
        <w:drawing>
          <wp:inline distT="0" distB="0" distL="0" distR="0" wp14:anchorId="4A816A45" wp14:editId="59BF6001">
            <wp:extent cx="9623576" cy="5362575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PDSS 2.0 Mapping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87392" cy="539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7DA" w:rsidSect="00672B09">
      <w:pgSz w:w="16840" w:h="11900" w:orient="landscape"/>
      <w:pgMar w:top="1134" w:right="1134" w:bottom="1134" w:left="840" w:header="96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1D1C8" w14:textId="77777777" w:rsidR="00DB1343" w:rsidRDefault="00DB1343" w:rsidP="00B53C78">
      <w:r>
        <w:separator/>
      </w:r>
    </w:p>
  </w:endnote>
  <w:endnote w:type="continuationSeparator" w:id="0">
    <w:p w14:paraId="229FABBD" w14:textId="77777777" w:rsidR="00DB1343" w:rsidRDefault="00DB1343" w:rsidP="00B5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inionPro-Regular">
    <w:altName w:val="Times New Roman"/>
    <w:panose1 w:val="020B0604020202020204"/>
    <w:charset w:val="00"/>
    <w:family w:val="auto"/>
    <w:pitch w:val="variable"/>
    <w:sig w:usb0="00000001" w:usb1="00000001" w:usb2="00000000" w:usb3="00000000" w:csb0="0000019F" w:csb1="00000000"/>
  </w:font>
  <w:font w:name="PostGrotesk-Book">
    <w:altName w:val="Times New Roman"/>
    <w:panose1 w:val="020B0604020202020204"/>
    <w:charset w:val="00"/>
    <w:family w:val="auto"/>
    <w:pitch w:val="variable"/>
    <w:sig w:usb0="00000001" w:usb1="500160FB" w:usb2="00000000" w:usb3="00000000" w:csb0="0000009B" w:csb1="00000000"/>
  </w:font>
  <w:font w:name="PostGrotesk-Medium">
    <w:altName w:val="Times New Roman"/>
    <w:panose1 w:val="020B0604020202020204"/>
    <w:charset w:val="00"/>
    <w:family w:val="auto"/>
    <w:pitch w:val="variable"/>
    <w:sig w:usb0="00000001" w:usb1="5001607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tional-Book">
    <w:altName w:val="Times New Roman"/>
    <w:panose1 w:val="02000503000000020004"/>
    <w:charset w:val="4D"/>
    <w:family w:val="auto"/>
    <w:notTrueType/>
    <w:pitch w:val="variable"/>
    <w:sig w:usb0="A00000FF" w:usb1="5000207B" w:usb2="0000001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801BE" w14:textId="77777777" w:rsidR="00584EFC" w:rsidRPr="009C5614" w:rsidRDefault="00584EFC" w:rsidP="00584EFC">
    <w:pPr>
      <w:pStyle w:val="Footer"/>
      <w:ind w:right="-7"/>
      <w:jc w:val="right"/>
    </w:pPr>
    <w:r w:rsidRPr="009C5614">
      <w:rPr>
        <w:rFonts w:cs="Arial"/>
        <w:sz w:val="20"/>
      </w:rPr>
      <w:t xml:space="preserve">Freedom of Information </w:t>
    </w:r>
    <w:r w:rsidRPr="009C5614">
      <w:rPr>
        <w:rFonts w:cs="Arial"/>
        <w:color w:val="E5007D"/>
        <w:sz w:val="20"/>
      </w:rPr>
      <w:t>|</w:t>
    </w:r>
    <w:r w:rsidRPr="009C5614">
      <w:rPr>
        <w:rFonts w:cs="Arial"/>
        <w:sz w:val="20"/>
      </w:rPr>
      <w:t xml:space="preserve"> Privacy </w:t>
    </w:r>
    <w:r w:rsidRPr="009C5614">
      <w:rPr>
        <w:rFonts w:cs="Arial"/>
        <w:color w:val="E5007D"/>
        <w:sz w:val="20"/>
      </w:rPr>
      <w:t>|</w:t>
    </w:r>
    <w:r w:rsidRPr="009C5614">
      <w:rPr>
        <w:rFonts w:cs="Arial"/>
        <w:sz w:val="20"/>
      </w:rPr>
      <w:t xml:space="preserve"> Data Protection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82B56" w14:textId="77777777" w:rsidR="00584EFC" w:rsidRPr="009C5614" w:rsidRDefault="00584EFC" w:rsidP="00584EFC">
    <w:pPr>
      <w:pStyle w:val="Footer"/>
      <w:ind w:right="-7"/>
      <w:jc w:val="right"/>
    </w:pPr>
    <w:r w:rsidRPr="009C5614">
      <w:rPr>
        <w:rFonts w:cs="Arial"/>
        <w:sz w:val="20"/>
      </w:rPr>
      <w:t xml:space="preserve">Freedom of Information </w:t>
    </w:r>
    <w:r w:rsidRPr="009C5614">
      <w:rPr>
        <w:rFonts w:cs="Arial"/>
        <w:color w:val="E5007D"/>
        <w:sz w:val="20"/>
      </w:rPr>
      <w:t>|</w:t>
    </w:r>
    <w:r w:rsidRPr="009C5614">
      <w:rPr>
        <w:rFonts w:cs="Arial"/>
        <w:sz w:val="20"/>
      </w:rPr>
      <w:t xml:space="preserve"> Privacy </w:t>
    </w:r>
    <w:r w:rsidRPr="009C5614">
      <w:rPr>
        <w:rFonts w:cs="Arial"/>
        <w:color w:val="E5007D"/>
        <w:sz w:val="20"/>
      </w:rPr>
      <w:t>|</w:t>
    </w:r>
    <w:r w:rsidRPr="009C5614">
      <w:rPr>
        <w:rFonts w:cs="Arial"/>
        <w:sz w:val="20"/>
      </w:rPr>
      <w:t xml:space="preserve"> Data Protection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F49CA" w14:textId="77777777" w:rsidR="00DB1343" w:rsidRDefault="00DB1343" w:rsidP="00B53C78">
      <w:r>
        <w:separator/>
      </w:r>
    </w:p>
  </w:footnote>
  <w:footnote w:type="continuationSeparator" w:id="0">
    <w:p w14:paraId="49A70936" w14:textId="77777777" w:rsidR="00DB1343" w:rsidRDefault="00DB1343" w:rsidP="00B53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27B59"/>
    <w:multiLevelType w:val="hybridMultilevel"/>
    <w:tmpl w:val="F296154E"/>
    <w:lvl w:ilvl="0" w:tplc="66A40E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60ABB"/>
    <w:multiLevelType w:val="hybridMultilevel"/>
    <w:tmpl w:val="9C109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9252C"/>
    <w:multiLevelType w:val="hybridMultilevel"/>
    <w:tmpl w:val="6F72C12C"/>
    <w:lvl w:ilvl="0" w:tplc="447252F0">
      <w:start w:val="1"/>
      <w:numFmt w:val="bullet"/>
      <w:pStyle w:val="ColourfulListAccent11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56D6D"/>
    <w:multiLevelType w:val="hybridMultilevel"/>
    <w:tmpl w:val="9056BF6A"/>
    <w:lvl w:ilvl="0" w:tplc="66A40E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85574"/>
    <w:multiLevelType w:val="hybridMultilevel"/>
    <w:tmpl w:val="FE7A4CD6"/>
    <w:lvl w:ilvl="0" w:tplc="66A40ECC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85"/>
    <w:rsid w:val="00021928"/>
    <w:rsid w:val="00064688"/>
    <w:rsid w:val="000677DA"/>
    <w:rsid w:val="00077961"/>
    <w:rsid w:val="00091CB4"/>
    <w:rsid w:val="000E7FAE"/>
    <w:rsid w:val="000F3A12"/>
    <w:rsid w:val="001159CB"/>
    <w:rsid w:val="00164A42"/>
    <w:rsid w:val="0025217E"/>
    <w:rsid w:val="0029334D"/>
    <w:rsid w:val="002A48A0"/>
    <w:rsid w:val="00305D40"/>
    <w:rsid w:val="00322784"/>
    <w:rsid w:val="00370F3D"/>
    <w:rsid w:val="00372C3E"/>
    <w:rsid w:val="003A7085"/>
    <w:rsid w:val="003E2D83"/>
    <w:rsid w:val="00476885"/>
    <w:rsid w:val="00552F2E"/>
    <w:rsid w:val="00555602"/>
    <w:rsid w:val="00584EFC"/>
    <w:rsid w:val="005870C5"/>
    <w:rsid w:val="00591BBC"/>
    <w:rsid w:val="005D2226"/>
    <w:rsid w:val="005F25D4"/>
    <w:rsid w:val="00635E9F"/>
    <w:rsid w:val="006713D1"/>
    <w:rsid w:val="00672B09"/>
    <w:rsid w:val="006B1C0F"/>
    <w:rsid w:val="007134A9"/>
    <w:rsid w:val="00723ACA"/>
    <w:rsid w:val="00760DDC"/>
    <w:rsid w:val="00765158"/>
    <w:rsid w:val="00765588"/>
    <w:rsid w:val="007A3757"/>
    <w:rsid w:val="007A6964"/>
    <w:rsid w:val="007B7D94"/>
    <w:rsid w:val="00801FE8"/>
    <w:rsid w:val="008536E9"/>
    <w:rsid w:val="00863040"/>
    <w:rsid w:val="0086734F"/>
    <w:rsid w:val="008B4992"/>
    <w:rsid w:val="008B7923"/>
    <w:rsid w:val="008F106C"/>
    <w:rsid w:val="009236D4"/>
    <w:rsid w:val="009374D7"/>
    <w:rsid w:val="00940F43"/>
    <w:rsid w:val="009445F4"/>
    <w:rsid w:val="00992FB4"/>
    <w:rsid w:val="009B32E9"/>
    <w:rsid w:val="009C24DB"/>
    <w:rsid w:val="009C5614"/>
    <w:rsid w:val="009F4967"/>
    <w:rsid w:val="00A33D6F"/>
    <w:rsid w:val="00AC42E9"/>
    <w:rsid w:val="00AE13A1"/>
    <w:rsid w:val="00B177DA"/>
    <w:rsid w:val="00B37C5F"/>
    <w:rsid w:val="00B53C78"/>
    <w:rsid w:val="00B80B30"/>
    <w:rsid w:val="00BB7D9B"/>
    <w:rsid w:val="00BD07DC"/>
    <w:rsid w:val="00C573CD"/>
    <w:rsid w:val="00C736EC"/>
    <w:rsid w:val="00CE7458"/>
    <w:rsid w:val="00D267EC"/>
    <w:rsid w:val="00D32D00"/>
    <w:rsid w:val="00D723C1"/>
    <w:rsid w:val="00DA234D"/>
    <w:rsid w:val="00DB1343"/>
    <w:rsid w:val="00DB13A1"/>
    <w:rsid w:val="00DB55DB"/>
    <w:rsid w:val="00DF4952"/>
    <w:rsid w:val="00DF6BC0"/>
    <w:rsid w:val="00E1172D"/>
    <w:rsid w:val="00E45B00"/>
    <w:rsid w:val="00E61AAE"/>
    <w:rsid w:val="00E719CA"/>
    <w:rsid w:val="00E91DBD"/>
    <w:rsid w:val="00ED3376"/>
    <w:rsid w:val="00ED7EF6"/>
    <w:rsid w:val="00EF06C1"/>
    <w:rsid w:val="00EF65B2"/>
    <w:rsid w:val="00F36C34"/>
    <w:rsid w:val="00F41C59"/>
    <w:rsid w:val="00F4301B"/>
    <w:rsid w:val="00F87792"/>
    <w:rsid w:val="00FD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2EFFB"/>
  <w14:defaultImageDpi w14:val="32767"/>
  <w15:docId w15:val="{0B0D077F-D902-024A-AD3C-171CE459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C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C78"/>
  </w:style>
  <w:style w:type="paragraph" w:styleId="Footer">
    <w:name w:val="footer"/>
    <w:basedOn w:val="Normal"/>
    <w:link w:val="FooterChar"/>
    <w:uiPriority w:val="99"/>
    <w:unhideWhenUsed/>
    <w:rsid w:val="00BD07DC"/>
    <w:pPr>
      <w:tabs>
        <w:tab w:val="center" w:pos="4513"/>
        <w:tab w:val="right" w:pos="9026"/>
      </w:tabs>
    </w:pPr>
    <w:rPr>
      <w:color w:val="430098"/>
    </w:rPr>
  </w:style>
  <w:style w:type="character" w:customStyle="1" w:styleId="FooterChar">
    <w:name w:val="Footer Char"/>
    <w:link w:val="Footer"/>
    <w:uiPriority w:val="99"/>
    <w:rsid w:val="00BD07DC"/>
    <w:rPr>
      <w:color w:val="430098"/>
    </w:rPr>
  </w:style>
  <w:style w:type="paragraph" w:customStyle="1" w:styleId="BasicParagraph">
    <w:name w:val="[Basic Paragraph]"/>
    <w:basedOn w:val="Normal"/>
    <w:uiPriority w:val="99"/>
    <w:rsid w:val="00F36C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basedOn w:val="BasicParagraph"/>
    <w:qFormat/>
    <w:rsid w:val="008B7923"/>
    <w:pPr>
      <w:suppressAutoHyphens/>
      <w:spacing w:after="240" w:line="240" w:lineRule="auto"/>
    </w:pPr>
    <w:rPr>
      <w:rFonts w:ascii="Calibri" w:hAnsi="Calibri" w:cs="PostGrotesk-Book"/>
      <w:color w:val="55565A"/>
      <w:sz w:val="22"/>
      <w:szCs w:val="22"/>
    </w:rPr>
  </w:style>
  <w:style w:type="paragraph" w:customStyle="1" w:styleId="SectionHeading1">
    <w:name w:val="Section Heading 1"/>
    <w:basedOn w:val="BasicParagraph"/>
    <w:qFormat/>
    <w:rsid w:val="008B7923"/>
    <w:pPr>
      <w:suppressAutoHyphens/>
      <w:spacing w:after="120"/>
    </w:pPr>
    <w:rPr>
      <w:rFonts w:ascii="Calibri" w:hAnsi="Calibri" w:cs="PostGrotesk-Medium"/>
      <w:color w:val="430098"/>
      <w:sz w:val="28"/>
      <w:szCs w:val="28"/>
    </w:rPr>
  </w:style>
  <w:style w:type="paragraph" w:customStyle="1" w:styleId="SectionHeading2">
    <w:name w:val="Section Heading 2"/>
    <w:basedOn w:val="BasicParagraph"/>
    <w:qFormat/>
    <w:rsid w:val="00372C3E"/>
    <w:pPr>
      <w:suppressAutoHyphens/>
      <w:spacing w:after="120"/>
    </w:pPr>
    <w:rPr>
      <w:rFonts w:ascii="Calibri" w:hAnsi="Calibri" w:cs="PostGrotesk-Medium"/>
      <w:b/>
      <w:color w:val="55565A"/>
    </w:rPr>
  </w:style>
  <w:style w:type="paragraph" w:customStyle="1" w:styleId="ColourfulListAccent11">
    <w:name w:val="Colourful List – Accent 11"/>
    <w:basedOn w:val="Body"/>
    <w:uiPriority w:val="34"/>
    <w:qFormat/>
    <w:rsid w:val="00064688"/>
    <w:pPr>
      <w:numPr>
        <w:numId w:val="2"/>
      </w:numPr>
      <w:spacing w:after="0"/>
      <w:ind w:left="284" w:hanging="284"/>
    </w:pPr>
  </w:style>
  <w:style w:type="paragraph" w:customStyle="1" w:styleId="Introduction">
    <w:name w:val="Introduction"/>
    <w:qFormat/>
    <w:rsid w:val="00B177DA"/>
    <w:pPr>
      <w:suppressAutoHyphens/>
      <w:spacing w:after="360"/>
      <w:ind w:right="1835"/>
    </w:pPr>
    <w:rPr>
      <w:rFonts w:cs="PostGrotesk-Book"/>
      <w:color w:val="7F7F7F"/>
      <w:sz w:val="28"/>
      <w:szCs w:val="28"/>
      <w:lang w:val="en-GB" w:eastAsia="en-US"/>
    </w:rPr>
  </w:style>
  <w:style w:type="paragraph" w:customStyle="1" w:styleId="Linebreak11pt">
    <w:name w:val="Line break 11pt"/>
    <w:basedOn w:val="BasicParagraph"/>
    <w:qFormat/>
    <w:rsid w:val="008B7923"/>
    <w:pPr>
      <w:suppressAutoHyphens/>
    </w:pPr>
    <w:rPr>
      <w:rFonts w:ascii="Calibri" w:hAnsi="Calibri" w:cs="PostGrotesk-Medium"/>
      <w:color w:val="55565A"/>
      <w:sz w:val="22"/>
      <w:szCs w:val="22"/>
    </w:rPr>
  </w:style>
  <w:style w:type="paragraph" w:customStyle="1" w:styleId="Disclaimer">
    <w:name w:val="Disclaimer"/>
    <w:basedOn w:val="Normal"/>
    <w:qFormat/>
    <w:rsid w:val="00064688"/>
    <w:pPr>
      <w:ind w:right="-7"/>
    </w:pPr>
    <w:rPr>
      <w:rFonts w:cs="PostGrotesk-Book"/>
      <w:color w:val="555559"/>
      <w:sz w:val="18"/>
      <w:szCs w:val="18"/>
    </w:rPr>
  </w:style>
  <w:style w:type="paragraph" w:customStyle="1" w:styleId="IntroductoryText">
    <w:name w:val="Introductory Text"/>
    <w:qFormat/>
    <w:rsid w:val="00863040"/>
    <w:pPr>
      <w:suppressAutoHyphens/>
      <w:spacing w:after="360"/>
      <w:ind w:right="1835"/>
    </w:pPr>
    <w:rPr>
      <w:rFonts w:cs="PostGrotesk-Book"/>
      <w:color w:val="555559"/>
      <w:sz w:val="28"/>
      <w:szCs w:val="28"/>
      <w:lang w:val="en-GB" w:eastAsia="en-US"/>
    </w:rPr>
  </w:style>
  <w:style w:type="paragraph" w:customStyle="1" w:styleId="DocumentTitle">
    <w:name w:val="Document Title"/>
    <w:basedOn w:val="Header"/>
    <w:qFormat/>
    <w:rsid w:val="00863040"/>
    <w:pPr>
      <w:tabs>
        <w:tab w:val="clear" w:pos="9026"/>
        <w:tab w:val="left" w:pos="6946"/>
      </w:tabs>
      <w:spacing w:before="840" w:after="120"/>
    </w:pPr>
    <w:rPr>
      <w:rFonts w:ascii="Arial" w:hAnsi="Arial" w:cs="Arial"/>
      <w:b/>
      <w:color w:val="430098"/>
      <w:sz w:val="40"/>
      <w:szCs w:val="40"/>
    </w:rPr>
  </w:style>
  <w:style w:type="paragraph" w:customStyle="1" w:styleId="DocumentSubtitle">
    <w:name w:val="Document Subtitle"/>
    <w:basedOn w:val="Header"/>
    <w:qFormat/>
    <w:rsid w:val="00863040"/>
    <w:pPr>
      <w:tabs>
        <w:tab w:val="left" w:pos="6946"/>
      </w:tabs>
      <w:spacing w:after="240"/>
    </w:pPr>
    <w:rPr>
      <w:rFonts w:ascii="Arial" w:hAnsi="Arial" w:cs="Arial"/>
      <w:color w:val="555559"/>
      <w:sz w:val="32"/>
      <w:szCs w:val="32"/>
    </w:rPr>
  </w:style>
  <w:style w:type="table" w:customStyle="1" w:styleId="PlainTable11">
    <w:name w:val="Plain Table 11"/>
    <w:basedOn w:val="TableNormal"/>
    <w:uiPriority w:val="41"/>
    <w:rsid w:val="008B792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ableHeading">
    <w:name w:val="Table Heading"/>
    <w:qFormat/>
    <w:rsid w:val="008B7923"/>
    <w:rPr>
      <w:rFonts w:cs="PostGrotesk-Book"/>
      <w:b/>
      <w:bCs/>
      <w:color w:val="55565A"/>
      <w:sz w:val="22"/>
      <w:szCs w:val="22"/>
      <w:lang w:val="en-GB" w:eastAsia="en-US"/>
    </w:rPr>
  </w:style>
  <w:style w:type="paragraph" w:customStyle="1" w:styleId="TableBody">
    <w:name w:val="Table Body"/>
    <w:qFormat/>
    <w:rsid w:val="008B7923"/>
    <w:rPr>
      <w:bCs/>
      <w:color w:val="55565A"/>
      <w:sz w:val="22"/>
      <w:szCs w:val="22"/>
      <w:lang w:val="en-GB" w:eastAsia="en-US"/>
    </w:rPr>
  </w:style>
  <w:style w:type="paragraph" w:customStyle="1" w:styleId="FurtherInfo">
    <w:name w:val="Further Info"/>
    <w:qFormat/>
    <w:rsid w:val="00372C3E"/>
    <w:pPr>
      <w:pBdr>
        <w:top w:val="single" w:sz="4" w:space="6" w:color="430098"/>
      </w:pBdr>
      <w:spacing w:before="480" w:after="200"/>
    </w:pPr>
    <w:rPr>
      <w:rFonts w:cs="PostGrotesk-Medium"/>
      <w:color w:val="430098"/>
      <w:sz w:val="28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0677DA"/>
    <w:pPr>
      <w:spacing w:after="200" w:line="276" w:lineRule="auto"/>
      <w:ind w:left="720"/>
      <w:contextualSpacing/>
    </w:pPr>
    <w:rPr>
      <w:sz w:val="22"/>
      <w:szCs w:val="22"/>
      <w:lang w:val="en-AU"/>
    </w:rPr>
  </w:style>
  <w:style w:type="paragraph" w:customStyle="1" w:styleId="BodyCopy">
    <w:name w:val="Body Copy"/>
    <w:basedOn w:val="Normal"/>
    <w:uiPriority w:val="99"/>
    <w:qFormat/>
    <w:rsid w:val="00476885"/>
    <w:pPr>
      <w:widowControl w:val="0"/>
      <w:suppressAutoHyphens/>
      <w:autoSpaceDE w:val="0"/>
      <w:autoSpaceDN w:val="0"/>
      <w:adjustRightInd w:val="0"/>
      <w:spacing w:before="120" w:after="200" w:line="264" w:lineRule="auto"/>
      <w:textAlignment w:val="center"/>
    </w:pPr>
    <w:rPr>
      <w:rFonts w:cs="National-Book"/>
      <w:color w:val="55565A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34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34D"/>
    <w:rPr>
      <w:rFonts w:ascii="Times New Roma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39"/>
    <w:rsid w:val="00DF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userdata/lparker/OVIC%20Branding/Template%20-%20Fact%20sheet%20-%201%20colum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2F1B9-5D3B-DC4B-AE0C-7685A111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Fact sheet - 1 column.dotx</Template>
  <TotalTime>39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Lachlan Parker</dc:creator>
  <cp:lastModifiedBy>Dean BW</cp:lastModifiedBy>
  <cp:revision>10</cp:revision>
  <cp:lastPrinted>2017-12-19T01:45:00Z</cp:lastPrinted>
  <dcterms:created xsi:type="dcterms:W3CDTF">2019-11-21T23:26:00Z</dcterms:created>
  <dcterms:modified xsi:type="dcterms:W3CDTF">2019-11-22T00:33:00Z</dcterms:modified>
</cp:coreProperties>
</file>