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7CCE" w14:textId="32B2C397" w:rsidR="00BF5808" w:rsidRDefault="00EE44F0" w:rsidP="009F5DED">
      <w:pPr>
        <w:pStyle w:val="NormalWeb"/>
        <w:shd w:val="clear" w:color="auto" w:fill="FFFFFF"/>
        <w:spacing w:before="120" w:beforeAutospacing="0" w:after="240" w:afterAutospacing="0"/>
        <w:rPr>
          <w:rFonts w:asciiTheme="minorHAnsi" w:hAnsiTheme="minorHAnsi" w:cstheme="minorHAnsi"/>
          <w:color w:val="292929"/>
          <w:sz w:val="22"/>
          <w:szCs w:val="22"/>
        </w:rPr>
      </w:pPr>
      <w:bookmarkStart w:id="0" w:name="_GoBack"/>
      <w:r w:rsidRPr="007B3AC2">
        <w:rPr>
          <w:rFonts w:asciiTheme="minorHAnsi" w:hAnsiTheme="minorHAnsi" w:cstheme="minorHAnsi"/>
          <w:color w:val="292929"/>
          <w:sz w:val="22"/>
          <w:szCs w:val="22"/>
        </w:rPr>
        <w:t xml:space="preserve">In this case, Mr </w:t>
      </w:r>
      <w:r w:rsidR="00A84930" w:rsidRPr="007B3AC2">
        <w:rPr>
          <w:rFonts w:asciiTheme="minorHAnsi" w:hAnsiTheme="minorHAnsi" w:cstheme="minorHAnsi"/>
          <w:color w:val="292929"/>
          <w:sz w:val="22"/>
          <w:szCs w:val="22"/>
        </w:rPr>
        <w:t>Jarod McLean</w:t>
      </w:r>
      <w:r w:rsidRPr="007B3AC2">
        <w:rPr>
          <w:rFonts w:asciiTheme="minorHAnsi" w:hAnsiTheme="minorHAnsi" w:cstheme="minorHAnsi"/>
          <w:color w:val="292929"/>
          <w:sz w:val="22"/>
          <w:szCs w:val="22"/>
        </w:rPr>
        <w:t xml:space="preserve"> (</w:t>
      </w:r>
      <w:r w:rsidR="007B3AC2" w:rsidRPr="007B3AC2">
        <w:rPr>
          <w:rFonts w:asciiTheme="minorHAnsi" w:hAnsiTheme="minorHAnsi" w:cstheme="minorHAnsi"/>
          <w:color w:val="292929"/>
          <w:sz w:val="22"/>
          <w:szCs w:val="22"/>
        </w:rPr>
        <w:t xml:space="preserve">the </w:t>
      </w:r>
      <w:r w:rsidR="00A84930" w:rsidRPr="007B3AC2">
        <w:rPr>
          <w:rStyle w:val="Strong"/>
          <w:rFonts w:asciiTheme="minorHAnsi" w:hAnsiTheme="minorHAnsi" w:cstheme="minorHAnsi"/>
          <w:color w:val="292929"/>
          <w:sz w:val="22"/>
          <w:szCs w:val="22"/>
        </w:rPr>
        <w:t>Plaintiff</w:t>
      </w:r>
      <w:r w:rsidRPr="007B3AC2">
        <w:rPr>
          <w:rFonts w:asciiTheme="minorHAnsi" w:hAnsiTheme="minorHAnsi" w:cstheme="minorHAnsi"/>
          <w:color w:val="292929"/>
          <w:sz w:val="22"/>
          <w:szCs w:val="22"/>
        </w:rPr>
        <w:t xml:space="preserve">) </w:t>
      </w:r>
      <w:r w:rsidR="00A84930" w:rsidRPr="007B3AC2">
        <w:rPr>
          <w:rFonts w:asciiTheme="minorHAnsi" w:hAnsiTheme="minorHAnsi" w:cstheme="minorHAnsi"/>
          <w:color w:val="292929"/>
          <w:sz w:val="22"/>
          <w:szCs w:val="22"/>
        </w:rPr>
        <w:t xml:space="preserve">sought a determination on whether Victoria Police </w:t>
      </w:r>
      <w:r w:rsidRPr="007B3AC2">
        <w:rPr>
          <w:rFonts w:asciiTheme="minorHAnsi" w:hAnsiTheme="minorHAnsi" w:cstheme="minorHAnsi"/>
          <w:color w:val="292929"/>
          <w:sz w:val="22"/>
          <w:szCs w:val="22"/>
        </w:rPr>
        <w:t>(</w:t>
      </w:r>
      <w:r w:rsidR="007B3AC2" w:rsidRPr="007B3AC2">
        <w:rPr>
          <w:rFonts w:asciiTheme="minorHAnsi" w:hAnsiTheme="minorHAnsi" w:cstheme="minorHAnsi"/>
          <w:color w:val="292929"/>
          <w:sz w:val="22"/>
          <w:szCs w:val="22"/>
        </w:rPr>
        <w:t xml:space="preserve">the </w:t>
      </w:r>
      <w:r w:rsidR="00A84930" w:rsidRPr="007B3AC2">
        <w:rPr>
          <w:rStyle w:val="Strong"/>
          <w:rFonts w:asciiTheme="minorHAnsi" w:hAnsiTheme="minorHAnsi" w:cstheme="minorHAnsi"/>
          <w:color w:val="292929"/>
          <w:sz w:val="22"/>
          <w:szCs w:val="22"/>
        </w:rPr>
        <w:t>Defendant</w:t>
      </w:r>
      <w:r w:rsidRPr="007B3AC2">
        <w:rPr>
          <w:rFonts w:asciiTheme="minorHAnsi" w:hAnsiTheme="minorHAnsi" w:cstheme="minorHAnsi"/>
          <w:color w:val="292929"/>
          <w:sz w:val="22"/>
          <w:szCs w:val="22"/>
        </w:rPr>
        <w:t>)</w:t>
      </w:r>
      <w:r w:rsidR="00A84930" w:rsidRPr="007B3AC2">
        <w:rPr>
          <w:rFonts w:asciiTheme="minorHAnsi" w:hAnsiTheme="minorHAnsi" w:cstheme="minorHAnsi"/>
          <w:color w:val="292929"/>
          <w:sz w:val="22"/>
          <w:szCs w:val="22"/>
        </w:rPr>
        <w:t xml:space="preserve"> owed </w:t>
      </w:r>
      <w:r w:rsidR="00F74BCD">
        <w:rPr>
          <w:rFonts w:asciiTheme="minorHAnsi" w:hAnsiTheme="minorHAnsi" w:cstheme="minorHAnsi"/>
          <w:color w:val="292929"/>
          <w:sz w:val="22"/>
          <w:szCs w:val="22"/>
        </w:rPr>
        <w:t xml:space="preserve">him </w:t>
      </w:r>
      <w:r w:rsidR="00A84930" w:rsidRPr="007B3AC2">
        <w:rPr>
          <w:rFonts w:asciiTheme="minorHAnsi" w:hAnsiTheme="minorHAnsi" w:cstheme="minorHAnsi"/>
          <w:color w:val="292929"/>
          <w:sz w:val="22"/>
          <w:szCs w:val="22"/>
        </w:rPr>
        <w:t xml:space="preserve">a duty of confidentiality in respect of </w:t>
      </w:r>
      <w:r w:rsidR="00C81C11">
        <w:rPr>
          <w:rFonts w:asciiTheme="minorHAnsi" w:hAnsiTheme="minorHAnsi" w:cstheme="minorHAnsi"/>
          <w:color w:val="292929"/>
          <w:sz w:val="22"/>
          <w:szCs w:val="22"/>
        </w:rPr>
        <w:t>items</w:t>
      </w:r>
      <w:r w:rsidR="00C81C11" w:rsidRPr="007B3AC2">
        <w:rPr>
          <w:rFonts w:asciiTheme="minorHAnsi" w:hAnsiTheme="minorHAnsi" w:cstheme="minorHAnsi"/>
          <w:color w:val="292929"/>
          <w:sz w:val="22"/>
          <w:szCs w:val="22"/>
        </w:rPr>
        <w:t xml:space="preserve"> </w:t>
      </w:r>
      <w:r w:rsidR="00A84930" w:rsidRPr="007B3AC2">
        <w:rPr>
          <w:rFonts w:asciiTheme="minorHAnsi" w:hAnsiTheme="minorHAnsi" w:cstheme="minorHAnsi"/>
          <w:color w:val="292929"/>
          <w:sz w:val="22"/>
          <w:szCs w:val="22"/>
        </w:rPr>
        <w:t xml:space="preserve">seized under warrant, and whether there was any limitation on the use by police of information derived from </w:t>
      </w:r>
      <w:r w:rsidR="00C81C11">
        <w:rPr>
          <w:rFonts w:asciiTheme="minorHAnsi" w:hAnsiTheme="minorHAnsi" w:cstheme="minorHAnsi"/>
          <w:color w:val="292929"/>
          <w:sz w:val="22"/>
          <w:szCs w:val="22"/>
        </w:rPr>
        <w:t xml:space="preserve">those </w:t>
      </w:r>
      <w:r w:rsidR="00A84930" w:rsidRPr="007B3AC2">
        <w:rPr>
          <w:rFonts w:asciiTheme="minorHAnsi" w:hAnsiTheme="minorHAnsi" w:cstheme="minorHAnsi"/>
          <w:color w:val="292929"/>
          <w:sz w:val="22"/>
          <w:szCs w:val="22"/>
        </w:rPr>
        <w:t xml:space="preserve">seized </w:t>
      </w:r>
      <w:r w:rsidR="00C81C11">
        <w:rPr>
          <w:rFonts w:asciiTheme="minorHAnsi" w:hAnsiTheme="minorHAnsi" w:cstheme="minorHAnsi"/>
          <w:color w:val="292929"/>
          <w:sz w:val="22"/>
          <w:szCs w:val="22"/>
        </w:rPr>
        <w:t>items</w:t>
      </w:r>
      <w:r w:rsidR="00A84930" w:rsidRPr="007B3AC2">
        <w:rPr>
          <w:rFonts w:asciiTheme="minorHAnsi" w:hAnsiTheme="minorHAnsi" w:cstheme="minorHAnsi"/>
          <w:color w:val="292929"/>
          <w:sz w:val="22"/>
          <w:szCs w:val="22"/>
        </w:rPr>
        <w:t>.</w:t>
      </w:r>
    </w:p>
    <w:p w14:paraId="1A783269" w14:textId="4D67E8F2" w:rsidR="00EE44F0" w:rsidRPr="007B3AC2" w:rsidRDefault="002867AC" w:rsidP="009F5DED">
      <w:pPr>
        <w:pStyle w:val="NormalWeb"/>
        <w:shd w:val="clear" w:color="auto" w:fill="FFFFFF"/>
        <w:spacing w:before="120" w:beforeAutospacing="0" w:after="240" w:afterAutospacing="0"/>
        <w:rPr>
          <w:rFonts w:asciiTheme="minorHAnsi" w:hAnsiTheme="minorHAnsi" w:cstheme="minorHAnsi"/>
          <w:color w:val="292929"/>
          <w:sz w:val="22"/>
          <w:szCs w:val="22"/>
        </w:rPr>
      </w:pPr>
      <w:r w:rsidRPr="007B3AC2">
        <w:rPr>
          <w:rFonts w:asciiTheme="minorHAnsi" w:hAnsiTheme="minorHAnsi" w:cstheme="minorHAnsi"/>
          <w:color w:val="292929"/>
          <w:sz w:val="22"/>
          <w:szCs w:val="22"/>
        </w:rPr>
        <w:t xml:space="preserve">On </w:t>
      </w:r>
      <w:r w:rsidR="00A84930" w:rsidRPr="007B3AC2">
        <w:rPr>
          <w:rFonts w:asciiTheme="minorHAnsi" w:hAnsiTheme="minorHAnsi" w:cstheme="minorHAnsi"/>
          <w:color w:val="292929"/>
          <w:sz w:val="22"/>
          <w:szCs w:val="22"/>
        </w:rPr>
        <w:t xml:space="preserve">18 </w:t>
      </w:r>
      <w:r w:rsidRPr="007B3AC2">
        <w:rPr>
          <w:rFonts w:asciiTheme="minorHAnsi" w:hAnsiTheme="minorHAnsi" w:cstheme="minorHAnsi"/>
          <w:color w:val="292929"/>
          <w:sz w:val="22"/>
          <w:szCs w:val="22"/>
        </w:rPr>
        <w:t>October 2019</w:t>
      </w:r>
      <w:r w:rsidR="00EE44F0" w:rsidRPr="007B3AC2">
        <w:rPr>
          <w:rFonts w:asciiTheme="minorHAnsi" w:hAnsiTheme="minorHAnsi" w:cstheme="minorHAnsi"/>
          <w:color w:val="292929"/>
          <w:sz w:val="22"/>
          <w:szCs w:val="22"/>
        </w:rPr>
        <w:t xml:space="preserve">, the </w:t>
      </w:r>
      <w:r w:rsidR="00A84930" w:rsidRPr="007B3AC2">
        <w:rPr>
          <w:rFonts w:asciiTheme="minorHAnsi" w:hAnsiTheme="minorHAnsi" w:cstheme="minorHAnsi"/>
          <w:color w:val="292929"/>
          <w:sz w:val="22"/>
          <w:szCs w:val="22"/>
        </w:rPr>
        <w:t>Supreme Court of Victoria</w:t>
      </w:r>
      <w:r w:rsidR="00EE44F0" w:rsidRPr="007B3AC2">
        <w:rPr>
          <w:rFonts w:asciiTheme="minorHAnsi" w:hAnsiTheme="minorHAnsi" w:cstheme="minorHAnsi"/>
          <w:color w:val="292929"/>
          <w:sz w:val="22"/>
          <w:szCs w:val="22"/>
        </w:rPr>
        <w:t xml:space="preserve"> (</w:t>
      </w:r>
      <w:r w:rsidR="00A84930" w:rsidRPr="007B3AC2">
        <w:rPr>
          <w:rStyle w:val="Strong"/>
          <w:rFonts w:asciiTheme="minorHAnsi" w:hAnsiTheme="minorHAnsi" w:cstheme="minorHAnsi"/>
          <w:b w:val="0"/>
          <w:bCs w:val="0"/>
          <w:color w:val="292929"/>
          <w:sz w:val="22"/>
          <w:szCs w:val="22"/>
        </w:rPr>
        <w:t>the</w:t>
      </w:r>
      <w:r w:rsidR="00A84930" w:rsidRPr="007B3AC2">
        <w:rPr>
          <w:rStyle w:val="Strong"/>
          <w:rFonts w:asciiTheme="minorHAnsi" w:hAnsiTheme="minorHAnsi" w:cstheme="minorHAnsi"/>
          <w:color w:val="292929"/>
          <w:sz w:val="22"/>
          <w:szCs w:val="22"/>
        </w:rPr>
        <w:t xml:space="preserve"> Court</w:t>
      </w:r>
      <w:r w:rsidR="00EE44F0" w:rsidRPr="007B3AC2">
        <w:rPr>
          <w:rFonts w:asciiTheme="minorHAnsi" w:hAnsiTheme="minorHAnsi" w:cstheme="minorHAnsi"/>
          <w:color w:val="292929"/>
          <w:sz w:val="22"/>
          <w:szCs w:val="22"/>
        </w:rPr>
        <w:t xml:space="preserve">) found the </w:t>
      </w:r>
      <w:r w:rsidR="00A84930" w:rsidRPr="007B3AC2">
        <w:rPr>
          <w:rFonts w:asciiTheme="minorHAnsi" w:hAnsiTheme="minorHAnsi" w:cstheme="minorHAnsi"/>
          <w:color w:val="292929"/>
          <w:sz w:val="22"/>
          <w:szCs w:val="22"/>
        </w:rPr>
        <w:t xml:space="preserve">Defendant </w:t>
      </w:r>
      <w:r w:rsidR="00BF5808">
        <w:rPr>
          <w:rFonts w:asciiTheme="minorHAnsi" w:hAnsiTheme="minorHAnsi" w:cstheme="minorHAnsi"/>
          <w:color w:val="292929"/>
          <w:sz w:val="22"/>
          <w:szCs w:val="22"/>
        </w:rPr>
        <w:t>owed the Plaintiff</w:t>
      </w:r>
      <w:r w:rsidR="007B3AC2" w:rsidRPr="007B3AC2">
        <w:rPr>
          <w:rFonts w:asciiTheme="minorHAnsi" w:hAnsiTheme="minorHAnsi" w:cstheme="minorHAnsi"/>
          <w:color w:val="292929"/>
          <w:sz w:val="22"/>
          <w:szCs w:val="22"/>
        </w:rPr>
        <w:t xml:space="preserve"> </w:t>
      </w:r>
      <w:r w:rsidR="00A84930" w:rsidRPr="007B3AC2">
        <w:rPr>
          <w:rFonts w:asciiTheme="minorHAnsi" w:hAnsiTheme="minorHAnsi" w:cstheme="minorHAnsi"/>
          <w:color w:val="292929"/>
          <w:sz w:val="22"/>
          <w:szCs w:val="22"/>
        </w:rPr>
        <w:t xml:space="preserve">a duty of confidentiality in respect of </w:t>
      </w:r>
      <w:r w:rsidR="007B3AC2" w:rsidRPr="007B3AC2">
        <w:rPr>
          <w:rFonts w:asciiTheme="minorHAnsi" w:hAnsiTheme="minorHAnsi" w:cstheme="minorHAnsi"/>
          <w:color w:val="292929"/>
          <w:sz w:val="22"/>
          <w:szCs w:val="22"/>
        </w:rPr>
        <w:t xml:space="preserve">the </w:t>
      </w:r>
      <w:r w:rsidR="00A84930" w:rsidRPr="007B3AC2">
        <w:rPr>
          <w:rFonts w:asciiTheme="minorHAnsi" w:hAnsiTheme="minorHAnsi" w:cstheme="minorHAnsi"/>
          <w:color w:val="292929"/>
          <w:sz w:val="22"/>
          <w:szCs w:val="22"/>
        </w:rPr>
        <w:t xml:space="preserve">seized </w:t>
      </w:r>
      <w:r w:rsidR="00C81C11">
        <w:rPr>
          <w:rFonts w:asciiTheme="minorHAnsi" w:hAnsiTheme="minorHAnsi" w:cstheme="minorHAnsi"/>
          <w:color w:val="292929"/>
          <w:sz w:val="22"/>
          <w:szCs w:val="22"/>
        </w:rPr>
        <w:t>items</w:t>
      </w:r>
      <w:r w:rsidR="00BF5808">
        <w:rPr>
          <w:rFonts w:asciiTheme="minorHAnsi" w:hAnsiTheme="minorHAnsi" w:cstheme="minorHAnsi"/>
          <w:color w:val="292929"/>
          <w:sz w:val="22"/>
          <w:szCs w:val="22"/>
        </w:rPr>
        <w:t>. However, it held</w:t>
      </w:r>
      <w:r w:rsidR="00A84930" w:rsidRPr="007B3AC2">
        <w:rPr>
          <w:rFonts w:asciiTheme="minorHAnsi" w:hAnsiTheme="minorHAnsi" w:cstheme="minorHAnsi"/>
          <w:color w:val="292929"/>
          <w:sz w:val="22"/>
          <w:szCs w:val="22"/>
        </w:rPr>
        <w:t xml:space="preserve"> this duty did not extend to the use of information derived from the seized </w:t>
      </w:r>
      <w:r w:rsidR="00C81C11">
        <w:rPr>
          <w:rFonts w:asciiTheme="minorHAnsi" w:hAnsiTheme="minorHAnsi" w:cstheme="minorHAnsi"/>
          <w:color w:val="292929"/>
          <w:sz w:val="22"/>
          <w:szCs w:val="22"/>
        </w:rPr>
        <w:t>items</w:t>
      </w:r>
      <w:r w:rsidR="00C81C11" w:rsidRPr="007B3AC2">
        <w:rPr>
          <w:rFonts w:asciiTheme="minorHAnsi" w:hAnsiTheme="minorHAnsi" w:cstheme="minorHAnsi"/>
          <w:color w:val="292929"/>
          <w:sz w:val="22"/>
          <w:szCs w:val="22"/>
        </w:rPr>
        <w:t xml:space="preserve"> </w:t>
      </w:r>
      <w:r w:rsidR="00A84930" w:rsidRPr="007B3AC2">
        <w:rPr>
          <w:rFonts w:asciiTheme="minorHAnsi" w:hAnsiTheme="minorHAnsi" w:cstheme="minorHAnsi"/>
          <w:color w:val="292929"/>
          <w:sz w:val="22"/>
          <w:szCs w:val="22"/>
        </w:rPr>
        <w:t xml:space="preserve">which could be disclosed in accordance with the common law and </w:t>
      </w:r>
      <w:r w:rsidR="00F74BCD">
        <w:rPr>
          <w:rFonts w:asciiTheme="minorHAnsi" w:hAnsiTheme="minorHAnsi" w:cstheme="minorHAnsi"/>
          <w:color w:val="292929"/>
          <w:sz w:val="22"/>
          <w:szCs w:val="22"/>
        </w:rPr>
        <w:t>Information Privacy Principle (</w:t>
      </w:r>
      <w:r w:rsidR="00A84930" w:rsidRPr="00C309AA">
        <w:rPr>
          <w:rFonts w:asciiTheme="minorHAnsi" w:hAnsiTheme="minorHAnsi" w:cstheme="minorHAnsi"/>
          <w:b/>
          <w:bCs/>
          <w:color w:val="292929"/>
          <w:sz w:val="22"/>
          <w:szCs w:val="22"/>
        </w:rPr>
        <w:t>IPP</w:t>
      </w:r>
      <w:r w:rsidR="00F74BCD">
        <w:rPr>
          <w:rFonts w:asciiTheme="minorHAnsi" w:hAnsiTheme="minorHAnsi" w:cstheme="minorHAnsi"/>
          <w:color w:val="292929"/>
          <w:sz w:val="22"/>
          <w:szCs w:val="22"/>
        </w:rPr>
        <w:t xml:space="preserve">) </w:t>
      </w:r>
      <w:r w:rsidR="00A84930" w:rsidRPr="007B3AC2">
        <w:rPr>
          <w:rFonts w:asciiTheme="minorHAnsi" w:hAnsiTheme="minorHAnsi" w:cstheme="minorHAnsi"/>
          <w:color w:val="292929"/>
          <w:sz w:val="22"/>
          <w:szCs w:val="22"/>
        </w:rPr>
        <w:t xml:space="preserve">2.1(e) of </w:t>
      </w:r>
      <w:r w:rsidR="00C54E2E">
        <w:rPr>
          <w:rFonts w:asciiTheme="minorHAnsi" w:hAnsiTheme="minorHAnsi" w:cstheme="minorHAnsi"/>
          <w:color w:val="292929"/>
          <w:sz w:val="22"/>
          <w:szCs w:val="22"/>
        </w:rPr>
        <w:t xml:space="preserve">Schedule 1 of </w:t>
      </w:r>
      <w:r w:rsidR="00A84930" w:rsidRPr="007B3AC2">
        <w:rPr>
          <w:rFonts w:asciiTheme="minorHAnsi" w:hAnsiTheme="minorHAnsi" w:cstheme="minorHAnsi"/>
          <w:color w:val="292929"/>
          <w:sz w:val="22"/>
          <w:szCs w:val="22"/>
        </w:rPr>
        <w:t xml:space="preserve">the </w:t>
      </w:r>
      <w:r w:rsidR="00A84930" w:rsidRPr="00C309AA">
        <w:rPr>
          <w:rFonts w:asciiTheme="minorHAnsi" w:hAnsiTheme="minorHAnsi" w:cstheme="minorHAnsi"/>
          <w:i/>
          <w:iCs/>
          <w:color w:val="292929"/>
          <w:sz w:val="22"/>
          <w:szCs w:val="22"/>
        </w:rPr>
        <w:t>Privacy and Data Protection Act 2014</w:t>
      </w:r>
      <w:r w:rsidR="00A84930" w:rsidRPr="007B3AC2">
        <w:rPr>
          <w:rFonts w:asciiTheme="minorHAnsi" w:hAnsiTheme="minorHAnsi" w:cstheme="minorHAnsi"/>
          <w:color w:val="292929"/>
          <w:sz w:val="22"/>
          <w:szCs w:val="22"/>
        </w:rPr>
        <w:t xml:space="preserve"> </w:t>
      </w:r>
      <w:r w:rsidR="00F74BCD">
        <w:rPr>
          <w:rFonts w:asciiTheme="minorHAnsi" w:hAnsiTheme="minorHAnsi" w:cstheme="minorHAnsi"/>
          <w:color w:val="292929"/>
          <w:sz w:val="22"/>
          <w:szCs w:val="22"/>
        </w:rPr>
        <w:t xml:space="preserve">(Vic) </w:t>
      </w:r>
      <w:r w:rsidR="00A84930" w:rsidRPr="007B3AC2">
        <w:rPr>
          <w:rFonts w:asciiTheme="minorHAnsi" w:hAnsiTheme="minorHAnsi" w:cstheme="minorHAnsi"/>
          <w:color w:val="292929"/>
          <w:sz w:val="22"/>
          <w:szCs w:val="22"/>
        </w:rPr>
        <w:t>(</w:t>
      </w:r>
      <w:r w:rsidR="007B3AC2">
        <w:rPr>
          <w:rFonts w:asciiTheme="minorHAnsi" w:hAnsiTheme="minorHAnsi" w:cstheme="minorHAnsi"/>
          <w:color w:val="292929"/>
          <w:sz w:val="22"/>
          <w:szCs w:val="22"/>
        </w:rPr>
        <w:t xml:space="preserve">the </w:t>
      </w:r>
      <w:r w:rsidR="00A84930" w:rsidRPr="007B3AC2">
        <w:rPr>
          <w:rFonts w:asciiTheme="minorHAnsi" w:hAnsiTheme="minorHAnsi" w:cstheme="minorHAnsi"/>
          <w:b/>
          <w:bCs/>
          <w:color w:val="292929"/>
          <w:sz w:val="22"/>
          <w:szCs w:val="22"/>
        </w:rPr>
        <w:t>PDP Act</w:t>
      </w:r>
      <w:r w:rsidR="00A84930" w:rsidRPr="007B3AC2">
        <w:rPr>
          <w:rFonts w:asciiTheme="minorHAnsi" w:hAnsiTheme="minorHAnsi" w:cstheme="minorHAnsi"/>
          <w:color w:val="292929"/>
          <w:sz w:val="22"/>
          <w:szCs w:val="22"/>
        </w:rPr>
        <w:t xml:space="preserve">). </w:t>
      </w:r>
      <w:r w:rsidR="00C54E2E">
        <w:rPr>
          <w:rFonts w:asciiTheme="minorHAnsi" w:hAnsiTheme="minorHAnsi" w:cstheme="minorHAnsi"/>
          <w:color w:val="292929"/>
          <w:sz w:val="22"/>
          <w:szCs w:val="22"/>
        </w:rPr>
        <w:t>You can read the decision</w:t>
      </w:r>
      <w:r w:rsidR="00EE44F0" w:rsidRPr="007B3AC2">
        <w:rPr>
          <w:rFonts w:asciiTheme="minorHAnsi" w:hAnsiTheme="minorHAnsi" w:cstheme="minorHAnsi"/>
          <w:color w:val="292929"/>
          <w:sz w:val="22"/>
          <w:szCs w:val="22"/>
        </w:rPr>
        <w:t> </w:t>
      </w:r>
      <w:hyperlink r:id="rId8" w:history="1">
        <w:r w:rsidR="00EE44F0" w:rsidRPr="007B3AC2">
          <w:rPr>
            <w:rStyle w:val="Hyperlink"/>
            <w:rFonts w:asciiTheme="minorHAnsi" w:hAnsiTheme="minorHAnsi" w:cstheme="minorHAnsi"/>
            <w:sz w:val="22"/>
            <w:szCs w:val="22"/>
          </w:rPr>
          <w:t>here</w:t>
        </w:r>
      </w:hyperlink>
      <w:r w:rsidR="00EE44F0" w:rsidRPr="007B3AC2">
        <w:rPr>
          <w:rFonts w:asciiTheme="minorHAnsi" w:hAnsiTheme="minorHAnsi" w:cstheme="minorHAnsi"/>
          <w:color w:val="292929"/>
          <w:sz w:val="22"/>
          <w:szCs w:val="22"/>
        </w:rPr>
        <w:t>.</w:t>
      </w:r>
    </w:p>
    <w:p w14:paraId="1032B652" w14:textId="77777777" w:rsidR="00EE44F0" w:rsidRPr="00BA681B" w:rsidRDefault="00EE44F0" w:rsidP="009F5DED">
      <w:pPr>
        <w:pStyle w:val="Heading2"/>
        <w:shd w:val="clear" w:color="auto" w:fill="FFFFFF"/>
        <w:spacing w:before="120" w:beforeAutospacing="0" w:after="240" w:afterAutospacing="0"/>
        <w:rPr>
          <w:rFonts w:asciiTheme="minorHAnsi" w:hAnsiTheme="minorHAnsi" w:cstheme="minorHAnsi"/>
          <w:b w:val="0"/>
          <w:bCs w:val="0"/>
          <w:color w:val="430098"/>
          <w:sz w:val="28"/>
          <w:szCs w:val="28"/>
        </w:rPr>
      </w:pPr>
      <w:r w:rsidRPr="00BA681B">
        <w:rPr>
          <w:rFonts w:asciiTheme="minorHAnsi" w:hAnsiTheme="minorHAnsi" w:cstheme="minorHAnsi"/>
          <w:b w:val="0"/>
          <w:bCs w:val="0"/>
          <w:color w:val="430098"/>
          <w:sz w:val="28"/>
          <w:szCs w:val="28"/>
        </w:rPr>
        <w:t>Lessons</w:t>
      </w:r>
    </w:p>
    <w:p w14:paraId="048928E8" w14:textId="3B27F5AF" w:rsidR="00EE44F0" w:rsidRPr="00225748" w:rsidRDefault="00EE44F0" w:rsidP="009F5DED">
      <w:pPr>
        <w:pStyle w:val="NormalWeb"/>
        <w:shd w:val="clear" w:color="auto" w:fill="FFFFFF"/>
        <w:spacing w:before="120" w:beforeAutospacing="0" w:after="240" w:afterAutospacing="0"/>
        <w:rPr>
          <w:rFonts w:asciiTheme="minorHAnsi" w:hAnsiTheme="minorHAnsi" w:cstheme="minorHAnsi"/>
          <w:color w:val="292929"/>
          <w:sz w:val="22"/>
          <w:szCs w:val="22"/>
        </w:rPr>
      </w:pPr>
      <w:r w:rsidRPr="00225748">
        <w:rPr>
          <w:rFonts w:asciiTheme="minorHAnsi" w:hAnsiTheme="minorHAnsi" w:cstheme="minorHAnsi"/>
          <w:color w:val="292929"/>
          <w:sz w:val="22"/>
          <w:szCs w:val="22"/>
        </w:rPr>
        <w:t xml:space="preserve">This is a noteworthy decision for Victorian public sector agencies </w:t>
      </w:r>
      <w:r w:rsidR="00F74BCD">
        <w:rPr>
          <w:rFonts w:asciiTheme="minorHAnsi" w:hAnsiTheme="minorHAnsi" w:cstheme="minorHAnsi"/>
          <w:color w:val="292929"/>
          <w:sz w:val="22"/>
          <w:szCs w:val="22"/>
        </w:rPr>
        <w:t xml:space="preserve">subject to Part 3 of the PDP Act </w:t>
      </w:r>
      <w:r w:rsidRPr="00225748">
        <w:rPr>
          <w:rFonts w:asciiTheme="minorHAnsi" w:hAnsiTheme="minorHAnsi" w:cstheme="minorHAnsi"/>
          <w:color w:val="292929"/>
          <w:sz w:val="22"/>
          <w:szCs w:val="22"/>
        </w:rPr>
        <w:t>for the following reasons:</w:t>
      </w:r>
    </w:p>
    <w:p w14:paraId="024AB2E7" w14:textId="4A48CFC8" w:rsidR="00C92519" w:rsidRDefault="00C92519" w:rsidP="007F78F3">
      <w:pPr>
        <w:numPr>
          <w:ilvl w:val="0"/>
          <w:numId w:val="24"/>
        </w:numPr>
        <w:shd w:val="clear" w:color="auto" w:fill="FFFFFF"/>
        <w:spacing w:before="120" w:after="240"/>
        <w:rPr>
          <w:rFonts w:asciiTheme="minorHAnsi" w:hAnsiTheme="minorHAnsi" w:cstheme="minorHAnsi"/>
          <w:color w:val="292929"/>
          <w:sz w:val="22"/>
          <w:szCs w:val="22"/>
        </w:rPr>
      </w:pPr>
      <w:r w:rsidRPr="00C92519">
        <w:rPr>
          <w:rFonts w:asciiTheme="minorHAnsi" w:hAnsiTheme="minorHAnsi" w:cstheme="minorHAnsi"/>
          <w:color w:val="292929"/>
          <w:sz w:val="22"/>
          <w:szCs w:val="22"/>
        </w:rPr>
        <w:t>The</w:t>
      </w:r>
      <w:r w:rsidR="00225748" w:rsidRPr="00C92519">
        <w:rPr>
          <w:rFonts w:asciiTheme="minorHAnsi" w:hAnsiTheme="minorHAnsi" w:cstheme="minorHAnsi"/>
          <w:color w:val="292929"/>
          <w:sz w:val="22"/>
          <w:szCs w:val="22"/>
        </w:rPr>
        <w:t xml:space="preserve"> duty not to disclose </w:t>
      </w:r>
      <w:r w:rsidR="00C81C11">
        <w:rPr>
          <w:rFonts w:asciiTheme="minorHAnsi" w:hAnsiTheme="minorHAnsi" w:cstheme="minorHAnsi"/>
          <w:color w:val="292929"/>
          <w:sz w:val="22"/>
          <w:szCs w:val="22"/>
        </w:rPr>
        <w:t xml:space="preserve">items </w:t>
      </w:r>
      <w:r w:rsidR="00225748" w:rsidRPr="00C92519">
        <w:rPr>
          <w:rFonts w:asciiTheme="minorHAnsi" w:hAnsiTheme="minorHAnsi" w:cstheme="minorHAnsi"/>
          <w:color w:val="292929"/>
          <w:sz w:val="22"/>
          <w:szCs w:val="22"/>
        </w:rPr>
        <w:t xml:space="preserve">seized </w:t>
      </w:r>
      <w:r w:rsidRPr="00C92519">
        <w:rPr>
          <w:rFonts w:asciiTheme="minorHAnsi" w:hAnsiTheme="minorHAnsi" w:cstheme="minorHAnsi"/>
          <w:color w:val="292929"/>
          <w:sz w:val="22"/>
          <w:szCs w:val="22"/>
        </w:rPr>
        <w:t>pursuant to a</w:t>
      </w:r>
      <w:r w:rsidR="00225748" w:rsidRPr="00C92519">
        <w:rPr>
          <w:rFonts w:asciiTheme="minorHAnsi" w:hAnsiTheme="minorHAnsi" w:cstheme="minorHAnsi"/>
          <w:color w:val="292929"/>
          <w:sz w:val="22"/>
          <w:szCs w:val="22"/>
        </w:rPr>
        <w:t xml:space="preserve"> search warrant issued under s</w:t>
      </w:r>
      <w:r w:rsidR="00B31556">
        <w:rPr>
          <w:rFonts w:asciiTheme="minorHAnsi" w:hAnsiTheme="minorHAnsi" w:cstheme="minorHAnsi"/>
          <w:color w:val="292929"/>
          <w:sz w:val="22"/>
          <w:szCs w:val="22"/>
        </w:rPr>
        <w:t>ection</w:t>
      </w:r>
      <w:r w:rsidR="00225748" w:rsidRPr="00C92519">
        <w:rPr>
          <w:rFonts w:asciiTheme="minorHAnsi" w:hAnsiTheme="minorHAnsi" w:cstheme="minorHAnsi"/>
          <w:color w:val="292929"/>
          <w:sz w:val="22"/>
          <w:szCs w:val="22"/>
        </w:rPr>
        <w:t xml:space="preserve"> 465 of the </w:t>
      </w:r>
      <w:r w:rsidRPr="00C309AA">
        <w:rPr>
          <w:rFonts w:asciiTheme="minorHAnsi" w:hAnsiTheme="minorHAnsi" w:cstheme="minorHAnsi"/>
          <w:i/>
          <w:iCs/>
          <w:color w:val="292929"/>
          <w:sz w:val="22"/>
          <w:szCs w:val="22"/>
        </w:rPr>
        <w:t>C</w:t>
      </w:r>
      <w:r w:rsidR="00225748" w:rsidRPr="00C309AA">
        <w:rPr>
          <w:rFonts w:asciiTheme="minorHAnsi" w:hAnsiTheme="minorHAnsi" w:cstheme="minorHAnsi"/>
          <w:i/>
          <w:iCs/>
          <w:color w:val="292929"/>
          <w:sz w:val="22"/>
          <w:szCs w:val="22"/>
        </w:rPr>
        <w:t xml:space="preserve">rimes </w:t>
      </w:r>
      <w:r w:rsidRPr="00C309AA">
        <w:rPr>
          <w:rFonts w:asciiTheme="minorHAnsi" w:hAnsiTheme="minorHAnsi" w:cstheme="minorHAnsi"/>
          <w:i/>
          <w:iCs/>
          <w:color w:val="292929"/>
          <w:sz w:val="22"/>
          <w:szCs w:val="22"/>
        </w:rPr>
        <w:t>A</w:t>
      </w:r>
      <w:r w:rsidR="00225748" w:rsidRPr="00C309AA">
        <w:rPr>
          <w:rFonts w:asciiTheme="minorHAnsi" w:hAnsiTheme="minorHAnsi" w:cstheme="minorHAnsi"/>
          <w:i/>
          <w:iCs/>
          <w:color w:val="292929"/>
          <w:sz w:val="22"/>
          <w:szCs w:val="22"/>
        </w:rPr>
        <w:t>ct</w:t>
      </w:r>
      <w:r w:rsidRPr="00C309AA">
        <w:rPr>
          <w:rFonts w:asciiTheme="minorHAnsi" w:hAnsiTheme="minorHAnsi" w:cstheme="minorHAnsi"/>
          <w:i/>
          <w:iCs/>
          <w:color w:val="292929"/>
          <w:sz w:val="22"/>
          <w:szCs w:val="22"/>
        </w:rPr>
        <w:t xml:space="preserve"> </w:t>
      </w:r>
      <w:r w:rsidR="00BF5808" w:rsidRPr="00C309AA">
        <w:rPr>
          <w:rFonts w:asciiTheme="minorHAnsi" w:hAnsiTheme="minorHAnsi" w:cstheme="minorHAnsi"/>
          <w:i/>
          <w:iCs/>
          <w:color w:val="292929"/>
          <w:sz w:val="22"/>
          <w:szCs w:val="22"/>
        </w:rPr>
        <w:t>1958</w:t>
      </w:r>
      <w:r w:rsidR="00BF5808">
        <w:rPr>
          <w:rFonts w:asciiTheme="minorHAnsi" w:hAnsiTheme="minorHAnsi" w:cstheme="minorHAnsi"/>
          <w:color w:val="292929"/>
          <w:sz w:val="22"/>
          <w:szCs w:val="22"/>
        </w:rPr>
        <w:t xml:space="preserve"> (Vic) (the </w:t>
      </w:r>
      <w:r w:rsidR="00BF5808" w:rsidRPr="00C309AA">
        <w:rPr>
          <w:rFonts w:asciiTheme="minorHAnsi" w:hAnsiTheme="minorHAnsi" w:cstheme="minorHAnsi"/>
          <w:b/>
          <w:bCs/>
          <w:color w:val="292929"/>
          <w:sz w:val="22"/>
          <w:szCs w:val="22"/>
        </w:rPr>
        <w:t>Crimes Act</w:t>
      </w:r>
      <w:r w:rsidR="00BF5808">
        <w:rPr>
          <w:rFonts w:asciiTheme="minorHAnsi" w:hAnsiTheme="minorHAnsi" w:cstheme="minorHAnsi"/>
          <w:color w:val="292929"/>
          <w:sz w:val="22"/>
          <w:szCs w:val="22"/>
        </w:rPr>
        <w:t xml:space="preserve">) </w:t>
      </w:r>
      <w:r w:rsidR="00225748" w:rsidRPr="00C92519">
        <w:rPr>
          <w:rFonts w:asciiTheme="minorHAnsi" w:hAnsiTheme="minorHAnsi" w:cstheme="minorHAnsi"/>
          <w:color w:val="292929"/>
          <w:sz w:val="22"/>
          <w:szCs w:val="22"/>
        </w:rPr>
        <w:t xml:space="preserve">does not extend to information about or derived from </w:t>
      </w:r>
      <w:r w:rsidR="00C81C11">
        <w:rPr>
          <w:rFonts w:asciiTheme="minorHAnsi" w:hAnsiTheme="minorHAnsi" w:cstheme="minorHAnsi"/>
          <w:color w:val="292929"/>
          <w:sz w:val="22"/>
          <w:szCs w:val="22"/>
        </w:rPr>
        <w:t>items</w:t>
      </w:r>
      <w:r w:rsidR="00C81C11" w:rsidRPr="00C92519">
        <w:rPr>
          <w:rFonts w:asciiTheme="minorHAnsi" w:hAnsiTheme="minorHAnsi" w:cstheme="minorHAnsi"/>
          <w:color w:val="292929"/>
          <w:sz w:val="22"/>
          <w:szCs w:val="22"/>
        </w:rPr>
        <w:t xml:space="preserve"> </w:t>
      </w:r>
      <w:r w:rsidR="00225748" w:rsidRPr="00C92519">
        <w:rPr>
          <w:rFonts w:asciiTheme="minorHAnsi" w:hAnsiTheme="minorHAnsi" w:cstheme="minorHAnsi"/>
          <w:color w:val="292929"/>
          <w:sz w:val="22"/>
          <w:szCs w:val="22"/>
        </w:rPr>
        <w:t xml:space="preserve">seized under </w:t>
      </w:r>
      <w:r w:rsidR="00BF5808">
        <w:rPr>
          <w:rFonts w:asciiTheme="minorHAnsi" w:hAnsiTheme="minorHAnsi" w:cstheme="minorHAnsi"/>
          <w:color w:val="292929"/>
          <w:sz w:val="22"/>
          <w:szCs w:val="22"/>
        </w:rPr>
        <w:t>a</w:t>
      </w:r>
      <w:r w:rsidRPr="00C92519">
        <w:rPr>
          <w:rFonts w:asciiTheme="minorHAnsi" w:hAnsiTheme="minorHAnsi" w:cstheme="minorHAnsi"/>
          <w:color w:val="292929"/>
          <w:sz w:val="22"/>
          <w:szCs w:val="22"/>
        </w:rPr>
        <w:t xml:space="preserve"> </w:t>
      </w:r>
      <w:r w:rsidR="00225748" w:rsidRPr="00C92519">
        <w:rPr>
          <w:rFonts w:asciiTheme="minorHAnsi" w:hAnsiTheme="minorHAnsi" w:cstheme="minorHAnsi"/>
          <w:color w:val="292929"/>
          <w:sz w:val="22"/>
          <w:szCs w:val="22"/>
        </w:rPr>
        <w:t>warrant</w:t>
      </w:r>
      <w:r w:rsidR="00BF5808">
        <w:rPr>
          <w:rFonts w:asciiTheme="minorHAnsi" w:hAnsiTheme="minorHAnsi" w:cstheme="minorHAnsi"/>
          <w:color w:val="292929"/>
          <w:sz w:val="22"/>
          <w:szCs w:val="22"/>
        </w:rPr>
        <w:t>.</w:t>
      </w:r>
    </w:p>
    <w:p w14:paraId="24232761" w14:textId="6657F84E" w:rsidR="00C92519" w:rsidRPr="00C92519" w:rsidRDefault="00C92519" w:rsidP="007F78F3">
      <w:pPr>
        <w:numPr>
          <w:ilvl w:val="0"/>
          <w:numId w:val="24"/>
        </w:numPr>
        <w:shd w:val="clear" w:color="auto" w:fill="FFFFFF"/>
        <w:spacing w:before="120" w:after="240"/>
        <w:rPr>
          <w:rFonts w:asciiTheme="minorHAnsi" w:hAnsiTheme="minorHAnsi" w:cstheme="minorHAnsi"/>
          <w:color w:val="292929"/>
          <w:sz w:val="22"/>
          <w:szCs w:val="22"/>
        </w:rPr>
      </w:pPr>
      <w:r w:rsidRPr="00C92519">
        <w:rPr>
          <w:rFonts w:asciiTheme="minorHAnsi" w:hAnsiTheme="minorHAnsi" w:cstheme="minorHAnsi"/>
          <w:color w:val="292929"/>
          <w:sz w:val="22"/>
          <w:szCs w:val="22"/>
        </w:rPr>
        <w:t>The meaning of ‘unlawful activity’ in IPP 2.1(e) is not limited to criminal activity and encompasses activity contrary to rules and laws whether criminal or civil</w:t>
      </w:r>
      <w:r w:rsidR="00BF5808">
        <w:rPr>
          <w:rFonts w:asciiTheme="minorHAnsi" w:hAnsiTheme="minorHAnsi" w:cstheme="minorHAnsi"/>
          <w:color w:val="292929"/>
          <w:sz w:val="22"/>
          <w:szCs w:val="22"/>
        </w:rPr>
        <w:t>.</w:t>
      </w:r>
    </w:p>
    <w:p w14:paraId="693F8BE8" w14:textId="4C704043" w:rsidR="009130F2" w:rsidRPr="00AB5259" w:rsidRDefault="00AB5259" w:rsidP="009F5DED">
      <w:pPr>
        <w:numPr>
          <w:ilvl w:val="0"/>
          <w:numId w:val="24"/>
        </w:numPr>
        <w:shd w:val="clear" w:color="auto" w:fill="FFFFFF"/>
        <w:spacing w:before="120" w:after="240"/>
        <w:rPr>
          <w:rFonts w:asciiTheme="minorHAnsi" w:hAnsiTheme="minorHAnsi" w:cstheme="minorHAnsi"/>
          <w:color w:val="292929"/>
          <w:sz w:val="22"/>
          <w:szCs w:val="22"/>
        </w:rPr>
      </w:pPr>
      <w:r w:rsidRPr="00AB5259">
        <w:rPr>
          <w:rFonts w:asciiTheme="minorHAnsi" w:hAnsiTheme="minorHAnsi" w:cstheme="minorHAnsi"/>
          <w:color w:val="292929"/>
          <w:sz w:val="22"/>
          <w:szCs w:val="22"/>
        </w:rPr>
        <w:t xml:space="preserve">IPP 2.1(e) is not </w:t>
      </w:r>
      <w:r w:rsidR="00C92519">
        <w:rPr>
          <w:rFonts w:asciiTheme="minorHAnsi" w:hAnsiTheme="minorHAnsi" w:cstheme="minorHAnsi"/>
          <w:color w:val="292929"/>
          <w:sz w:val="22"/>
          <w:szCs w:val="22"/>
        </w:rPr>
        <w:t xml:space="preserve">confined in its application to law enforcement agencies and instead contemplates that any organisation to which the PDP Act applies may investigate suspected unlawful </w:t>
      </w:r>
      <w:r w:rsidR="00CF52A0">
        <w:rPr>
          <w:rFonts w:asciiTheme="minorHAnsi" w:hAnsiTheme="minorHAnsi" w:cstheme="minorHAnsi"/>
          <w:color w:val="292929"/>
          <w:sz w:val="22"/>
          <w:szCs w:val="22"/>
        </w:rPr>
        <w:t>activity or</w:t>
      </w:r>
      <w:r w:rsidR="00C92519">
        <w:rPr>
          <w:rFonts w:asciiTheme="minorHAnsi" w:hAnsiTheme="minorHAnsi" w:cstheme="minorHAnsi"/>
          <w:color w:val="292929"/>
          <w:sz w:val="22"/>
          <w:szCs w:val="22"/>
        </w:rPr>
        <w:t xml:space="preserve"> refer its concerns to a relevant person or authority.</w:t>
      </w:r>
    </w:p>
    <w:p w14:paraId="7E5166DF" w14:textId="5B559D6B" w:rsidR="00C648D2" w:rsidRDefault="00C648D2" w:rsidP="009F5DED">
      <w:pPr>
        <w:pStyle w:val="Heading2"/>
        <w:shd w:val="clear" w:color="auto" w:fill="FFFFFF"/>
        <w:spacing w:before="120" w:beforeAutospacing="0" w:after="240" w:afterAutospacing="0"/>
        <w:rPr>
          <w:rFonts w:asciiTheme="minorHAnsi" w:hAnsiTheme="minorHAnsi" w:cstheme="minorHAnsi"/>
          <w:b w:val="0"/>
          <w:bCs w:val="0"/>
          <w:color w:val="430098"/>
          <w:sz w:val="28"/>
          <w:szCs w:val="28"/>
        </w:rPr>
      </w:pPr>
      <w:r>
        <w:rPr>
          <w:rFonts w:asciiTheme="minorHAnsi" w:hAnsiTheme="minorHAnsi" w:cstheme="minorHAnsi"/>
          <w:b w:val="0"/>
          <w:bCs w:val="0"/>
          <w:color w:val="430098"/>
          <w:sz w:val="28"/>
          <w:szCs w:val="28"/>
        </w:rPr>
        <w:t>Background</w:t>
      </w:r>
    </w:p>
    <w:p w14:paraId="0D8C82A6" w14:textId="005C380D" w:rsidR="00BF5808" w:rsidRDefault="00F9002F" w:rsidP="00846EED">
      <w:pPr>
        <w:shd w:val="clear" w:color="auto" w:fill="FFFFFF"/>
        <w:spacing w:before="120" w:after="240"/>
        <w:rPr>
          <w:rFonts w:asciiTheme="minorHAnsi" w:hAnsiTheme="minorHAnsi" w:cstheme="minorHAnsi"/>
          <w:color w:val="292929"/>
          <w:sz w:val="22"/>
          <w:szCs w:val="22"/>
        </w:rPr>
      </w:pPr>
      <w:r>
        <w:rPr>
          <w:rFonts w:asciiTheme="minorHAnsi" w:hAnsiTheme="minorHAnsi" w:cstheme="minorHAnsi"/>
          <w:color w:val="292929"/>
          <w:sz w:val="22"/>
          <w:szCs w:val="22"/>
        </w:rPr>
        <w:t xml:space="preserve">The </w:t>
      </w:r>
      <w:r w:rsidR="00BF5808">
        <w:rPr>
          <w:rFonts w:asciiTheme="minorHAnsi" w:hAnsiTheme="minorHAnsi" w:cstheme="minorHAnsi"/>
          <w:color w:val="292929"/>
          <w:sz w:val="22"/>
          <w:szCs w:val="22"/>
        </w:rPr>
        <w:t>P</w:t>
      </w:r>
      <w:r>
        <w:rPr>
          <w:rFonts w:asciiTheme="minorHAnsi" w:hAnsiTheme="minorHAnsi" w:cstheme="minorHAnsi"/>
          <w:color w:val="292929"/>
          <w:sz w:val="22"/>
          <w:szCs w:val="22"/>
        </w:rPr>
        <w:t xml:space="preserve">laintiff </w:t>
      </w:r>
      <w:r w:rsidR="00C54E2E">
        <w:rPr>
          <w:rFonts w:asciiTheme="minorHAnsi" w:hAnsiTheme="minorHAnsi" w:cstheme="minorHAnsi"/>
          <w:color w:val="292929"/>
          <w:sz w:val="22"/>
          <w:szCs w:val="22"/>
        </w:rPr>
        <w:t xml:space="preserve">is </w:t>
      </w:r>
      <w:r>
        <w:rPr>
          <w:rFonts w:asciiTheme="minorHAnsi" w:hAnsiTheme="minorHAnsi" w:cstheme="minorHAnsi"/>
          <w:color w:val="292929"/>
          <w:sz w:val="22"/>
          <w:szCs w:val="22"/>
        </w:rPr>
        <w:t>a licenced raceh</w:t>
      </w:r>
      <w:r w:rsidR="00225748" w:rsidRPr="00225748">
        <w:rPr>
          <w:rFonts w:asciiTheme="minorHAnsi" w:hAnsiTheme="minorHAnsi" w:cstheme="minorHAnsi"/>
          <w:color w:val="292929"/>
          <w:sz w:val="22"/>
          <w:szCs w:val="22"/>
        </w:rPr>
        <w:t>orse trainer</w:t>
      </w:r>
      <w:r w:rsidR="00C54E2E">
        <w:rPr>
          <w:rFonts w:asciiTheme="minorHAnsi" w:hAnsiTheme="minorHAnsi" w:cstheme="minorHAnsi"/>
          <w:color w:val="292929"/>
          <w:sz w:val="22"/>
          <w:szCs w:val="22"/>
        </w:rPr>
        <w:t>, subject to the Rules of Racing of Racing Victoria</w:t>
      </w:r>
      <w:r w:rsidR="00BF5808">
        <w:rPr>
          <w:rFonts w:asciiTheme="minorHAnsi" w:hAnsiTheme="minorHAnsi" w:cstheme="minorHAnsi"/>
          <w:color w:val="292929"/>
          <w:sz w:val="22"/>
          <w:szCs w:val="22"/>
        </w:rPr>
        <w:t xml:space="preserve">. </w:t>
      </w:r>
    </w:p>
    <w:p w14:paraId="29869B6C" w14:textId="6D984A34" w:rsidR="00F9002F" w:rsidRDefault="00F9002F" w:rsidP="00846EED">
      <w:pPr>
        <w:shd w:val="clear" w:color="auto" w:fill="FFFFFF"/>
        <w:spacing w:before="120" w:after="240"/>
        <w:rPr>
          <w:rFonts w:asciiTheme="minorHAnsi" w:hAnsiTheme="minorHAnsi" w:cstheme="minorHAnsi"/>
          <w:color w:val="292929"/>
          <w:sz w:val="22"/>
          <w:szCs w:val="22"/>
        </w:rPr>
      </w:pPr>
      <w:r>
        <w:rPr>
          <w:rFonts w:asciiTheme="minorHAnsi" w:hAnsiTheme="minorHAnsi" w:cstheme="minorHAnsi"/>
          <w:color w:val="292929"/>
          <w:sz w:val="22"/>
          <w:szCs w:val="22"/>
        </w:rPr>
        <w:t xml:space="preserve">On 30 January 2019, the </w:t>
      </w:r>
      <w:r w:rsidR="00BF5808">
        <w:rPr>
          <w:rFonts w:asciiTheme="minorHAnsi" w:hAnsiTheme="minorHAnsi" w:cstheme="minorHAnsi"/>
          <w:color w:val="292929"/>
          <w:sz w:val="22"/>
          <w:szCs w:val="22"/>
        </w:rPr>
        <w:t>D</w:t>
      </w:r>
      <w:r>
        <w:rPr>
          <w:rFonts w:asciiTheme="minorHAnsi" w:hAnsiTheme="minorHAnsi" w:cstheme="minorHAnsi"/>
          <w:color w:val="292929"/>
          <w:sz w:val="22"/>
          <w:szCs w:val="22"/>
        </w:rPr>
        <w:t xml:space="preserve">efendant </w:t>
      </w:r>
      <w:r w:rsidR="00C54E2E">
        <w:rPr>
          <w:rFonts w:asciiTheme="minorHAnsi" w:hAnsiTheme="minorHAnsi" w:cstheme="minorHAnsi"/>
          <w:color w:val="292929"/>
          <w:sz w:val="22"/>
          <w:szCs w:val="22"/>
        </w:rPr>
        <w:t>executed</w:t>
      </w:r>
      <w:r w:rsidR="00BF5808">
        <w:rPr>
          <w:rFonts w:asciiTheme="minorHAnsi" w:hAnsiTheme="minorHAnsi" w:cstheme="minorHAnsi"/>
          <w:color w:val="292929"/>
          <w:sz w:val="22"/>
          <w:szCs w:val="22"/>
        </w:rPr>
        <w:t xml:space="preserve"> </w:t>
      </w:r>
      <w:r>
        <w:rPr>
          <w:rFonts w:asciiTheme="minorHAnsi" w:hAnsiTheme="minorHAnsi" w:cstheme="minorHAnsi"/>
          <w:color w:val="292929"/>
          <w:sz w:val="22"/>
          <w:szCs w:val="22"/>
        </w:rPr>
        <w:t>a search warrant</w:t>
      </w:r>
      <w:r w:rsidR="00BF5808">
        <w:rPr>
          <w:rFonts w:asciiTheme="minorHAnsi" w:hAnsiTheme="minorHAnsi" w:cstheme="minorHAnsi"/>
          <w:color w:val="292929"/>
          <w:sz w:val="22"/>
          <w:szCs w:val="22"/>
        </w:rPr>
        <w:t xml:space="preserve"> </w:t>
      </w:r>
      <w:r w:rsidR="00C54E2E">
        <w:rPr>
          <w:rFonts w:asciiTheme="minorHAnsi" w:hAnsiTheme="minorHAnsi" w:cstheme="minorHAnsi"/>
          <w:color w:val="292929"/>
          <w:sz w:val="22"/>
          <w:szCs w:val="22"/>
        </w:rPr>
        <w:t xml:space="preserve">at the Plaintiff’s home, which was issued by a Magistrate </w:t>
      </w:r>
      <w:r>
        <w:rPr>
          <w:rFonts w:asciiTheme="minorHAnsi" w:hAnsiTheme="minorHAnsi" w:cstheme="minorHAnsi"/>
          <w:color w:val="292929"/>
          <w:sz w:val="22"/>
          <w:szCs w:val="22"/>
        </w:rPr>
        <w:t>under s</w:t>
      </w:r>
      <w:r w:rsidR="00B31556">
        <w:rPr>
          <w:rFonts w:asciiTheme="minorHAnsi" w:hAnsiTheme="minorHAnsi" w:cstheme="minorHAnsi"/>
          <w:color w:val="292929"/>
          <w:sz w:val="22"/>
          <w:szCs w:val="22"/>
        </w:rPr>
        <w:t>ection</w:t>
      </w:r>
      <w:r>
        <w:rPr>
          <w:rFonts w:asciiTheme="minorHAnsi" w:hAnsiTheme="minorHAnsi" w:cstheme="minorHAnsi"/>
          <w:color w:val="292929"/>
          <w:sz w:val="22"/>
          <w:szCs w:val="22"/>
        </w:rPr>
        <w:t xml:space="preserve"> 465 of the Crimes Act</w:t>
      </w:r>
      <w:r w:rsidR="00BF5808">
        <w:rPr>
          <w:rFonts w:asciiTheme="minorHAnsi" w:hAnsiTheme="minorHAnsi" w:cstheme="minorHAnsi"/>
          <w:color w:val="292929"/>
          <w:sz w:val="22"/>
          <w:szCs w:val="22"/>
        </w:rPr>
        <w:t xml:space="preserve">. </w:t>
      </w:r>
      <w:r w:rsidR="00C54E2E">
        <w:rPr>
          <w:rFonts w:asciiTheme="minorHAnsi" w:hAnsiTheme="minorHAnsi" w:cstheme="minorHAnsi"/>
          <w:color w:val="292929"/>
          <w:sz w:val="22"/>
          <w:szCs w:val="22"/>
        </w:rPr>
        <w:t>The Defendant</w:t>
      </w:r>
      <w:r>
        <w:rPr>
          <w:rFonts w:asciiTheme="minorHAnsi" w:hAnsiTheme="minorHAnsi" w:cstheme="minorHAnsi"/>
          <w:color w:val="292929"/>
          <w:sz w:val="22"/>
          <w:szCs w:val="22"/>
        </w:rPr>
        <w:t xml:space="preserve"> seized </w:t>
      </w:r>
      <w:r w:rsidR="00BF5808">
        <w:rPr>
          <w:rFonts w:asciiTheme="minorHAnsi" w:hAnsiTheme="minorHAnsi" w:cstheme="minorHAnsi"/>
          <w:color w:val="292929"/>
          <w:sz w:val="22"/>
          <w:szCs w:val="22"/>
        </w:rPr>
        <w:t>from the Plaintiff</w:t>
      </w:r>
      <w:r w:rsidR="00C54E2E">
        <w:rPr>
          <w:rFonts w:asciiTheme="minorHAnsi" w:hAnsiTheme="minorHAnsi" w:cstheme="minorHAnsi"/>
          <w:color w:val="292929"/>
          <w:sz w:val="22"/>
          <w:szCs w:val="22"/>
        </w:rPr>
        <w:t>’s home</w:t>
      </w:r>
      <w:r w:rsidR="00BF5808">
        <w:rPr>
          <w:rFonts w:asciiTheme="minorHAnsi" w:hAnsiTheme="minorHAnsi" w:cstheme="minorHAnsi"/>
          <w:color w:val="292929"/>
          <w:sz w:val="22"/>
          <w:szCs w:val="22"/>
        </w:rPr>
        <w:t xml:space="preserve"> </w:t>
      </w:r>
      <w:r>
        <w:rPr>
          <w:rFonts w:asciiTheme="minorHAnsi" w:hAnsiTheme="minorHAnsi" w:cstheme="minorHAnsi"/>
          <w:color w:val="292929"/>
          <w:sz w:val="22"/>
          <w:szCs w:val="22"/>
        </w:rPr>
        <w:t>6 syringes labelled ‘</w:t>
      </w:r>
      <w:proofErr w:type="spellStart"/>
      <w:r>
        <w:rPr>
          <w:rFonts w:asciiTheme="minorHAnsi" w:hAnsiTheme="minorHAnsi" w:cstheme="minorHAnsi"/>
          <w:color w:val="292929"/>
          <w:sz w:val="22"/>
          <w:szCs w:val="22"/>
        </w:rPr>
        <w:t>Eprex</w:t>
      </w:r>
      <w:proofErr w:type="spellEnd"/>
      <w:r>
        <w:rPr>
          <w:rFonts w:asciiTheme="minorHAnsi" w:hAnsiTheme="minorHAnsi" w:cstheme="minorHAnsi"/>
          <w:color w:val="292929"/>
          <w:sz w:val="22"/>
          <w:szCs w:val="22"/>
        </w:rPr>
        <w:t xml:space="preserve"> 1000’</w:t>
      </w:r>
      <w:r w:rsidR="003756C5">
        <w:rPr>
          <w:rFonts w:asciiTheme="minorHAnsi" w:hAnsiTheme="minorHAnsi" w:cstheme="minorHAnsi"/>
          <w:color w:val="292929"/>
          <w:sz w:val="22"/>
          <w:szCs w:val="22"/>
        </w:rPr>
        <w:t>, among other items</w:t>
      </w:r>
      <w:r>
        <w:rPr>
          <w:rFonts w:asciiTheme="minorHAnsi" w:hAnsiTheme="minorHAnsi" w:cstheme="minorHAnsi"/>
          <w:color w:val="292929"/>
          <w:sz w:val="22"/>
          <w:szCs w:val="22"/>
        </w:rPr>
        <w:t xml:space="preserve">. On return of the warrant, a </w:t>
      </w:r>
      <w:r w:rsidR="003756C5">
        <w:rPr>
          <w:rFonts w:asciiTheme="minorHAnsi" w:hAnsiTheme="minorHAnsi" w:cstheme="minorHAnsi"/>
          <w:color w:val="292929"/>
          <w:sz w:val="22"/>
          <w:szCs w:val="22"/>
        </w:rPr>
        <w:t>M</w:t>
      </w:r>
      <w:r>
        <w:rPr>
          <w:rFonts w:asciiTheme="minorHAnsi" w:hAnsiTheme="minorHAnsi" w:cstheme="minorHAnsi"/>
          <w:color w:val="292929"/>
          <w:sz w:val="22"/>
          <w:szCs w:val="22"/>
        </w:rPr>
        <w:t>agistrate authorised the forensic analysis of the syringes.</w:t>
      </w:r>
      <w:r w:rsidR="00C54E2E">
        <w:rPr>
          <w:rFonts w:asciiTheme="minorHAnsi" w:hAnsiTheme="minorHAnsi" w:cstheme="minorHAnsi"/>
          <w:color w:val="292929"/>
          <w:sz w:val="22"/>
          <w:szCs w:val="22"/>
        </w:rPr>
        <w:t xml:space="preserve"> </w:t>
      </w:r>
      <w:r>
        <w:rPr>
          <w:rFonts w:asciiTheme="minorHAnsi" w:hAnsiTheme="minorHAnsi" w:cstheme="minorHAnsi"/>
          <w:color w:val="292929"/>
          <w:sz w:val="22"/>
          <w:szCs w:val="22"/>
        </w:rPr>
        <w:t xml:space="preserve">The syringes were </w:t>
      </w:r>
      <w:r w:rsidR="00C54E2E">
        <w:rPr>
          <w:rFonts w:asciiTheme="minorHAnsi" w:hAnsiTheme="minorHAnsi" w:cstheme="minorHAnsi"/>
          <w:color w:val="292929"/>
          <w:sz w:val="22"/>
          <w:szCs w:val="22"/>
        </w:rPr>
        <w:t xml:space="preserve">subsequently </w:t>
      </w:r>
      <w:r>
        <w:rPr>
          <w:rFonts w:asciiTheme="minorHAnsi" w:hAnsiTheme="minorHAnsi" w:cstheme="minorHAnsi"/>
          <w:color w:val="292929"/>
          <w:sz w:val="22"/>
          <w:szCs w:val="22"/>
        </w:rPr>
        <w:t>found to contain a substance called ‘EPO’</w:t>
      </w:r>
      <w:r w:rsidR="00C54E2E">
        <w:rPr>
          <w:rFonts w:asciiTheme="minorHAnsi" w:hAnsiTheme="minorHAnsi" w:cstheme="minorHAnsi"/>
          <w:color w:val="292929"/>
          <w:sz w:val="22"/>
          <w:szCs w:val="22"/>
        </w:rPr>
        <w:t>. It is an offence to possess EPO without a prescription, and EPO is a prohibited substance under the Rules of Racing of Racing Victoria.</w:t>
      </w:r>
      <w:r>
        <w:rPr>
          <w:rFonts w:asciiTheme="minorHAnsi" w:hAnsiTheme="minorHAnsi" w:cstheme="minorHAnsi"/>
          <w:color w:val="292929"/>
          <w:sz w:val="22"/>
          <w:szCs w:val="22"/>
        </w:rPr>
        <w:t xml:space="preserve"> </w:t>
      </w:r>
    </w:p>
    <w:p w14:paraId="0CF68CAB" w14:textId="27A965EF" w:rsidR="00F9002F" w:rsidRDefault="00F9002F" w:rsidP="00846EED">
      <w:pPr>
        <w:shd w:val="clear" w:color="auto" w:fill="FFFFFF"/>
        <w:spacing w:before="120" w:after="240"/>
        <w:rPr>
          <w:rFonts w:asciiTheme="minorHAnsi" w:hAnsiTheme="minorHAnsi" w:cstheme="minorHAnsi"/>
          <w:color w:val="292929"/>
          <w:sz w:val="22"/>
          <w:szCs w:val="22"/>
        </w:rPr>
      </w:pPr>
      <w:r>
        <w:rPr>
          <w:rFonts w:asciiTheme="minorHAnsi" w:hAnsiTheme="minorHAnsi" w:cstheme="minorHAnsi"/>
          <w:color w:val="292929"/>
          <w:sz w:val="22"/>
          <w:szCs w:val="22"/>
        </w:rPr>
        <w:t xml:space="preserve">The </w:t>
      </w:r>
      <w:r w:rsidR="00C54E2E">
        <w:rPr>
          <w:rFonts w:asciiTheme="minorHAnsi" w:hAnsiTheme="minorHAnsi" w:cstheme="minorHAnsi"/>
          <w:color w:val="292929"/>
          <w:sz w:val="22"/>
          <w:szCs w:val="22"/>
        </w:rPr>
        <w:t>D</w:t>
      </w:r>
      <w:r>
        <w:rPr>
          <w:rFonts w:asciiTheme="minorHAnsi" w:hAnsiTheme="minorHAnsi" w:cstheme="minorHAnsi"/>
          <w:color w:val="292929"/>
          <w:sz w:val="22"/>
          <w:szCs w:val="22"/>
        </w:rPr>
        <w:t xml:space="preserve">efendant </w:t>
      </w:r>
      <w:r w:rsidR="00B31556">
        <w:rPr>
          <w:rFonts w:asciiTheme="minorHAnsi" w:hAnsiTheme="minorHAnsi" w:cstheme="minorHAnsi"/>
          <w:color w:val="292929"/>
          <w:sz w:val="22"/>
          <w:szCs w:val="22"/>
        </w:rPr>
        <w:t xml:space="preserve">then </w:t>
      </w:r>
      <w:r w:rsidR="00C54E2E">
        <w:rPr>
          <w:rFonts w:asciiTheme="minorHAnsi" w:hAnsiTheme="minorHAnsi" w:cstheme="minorHAnsi"/>
          <w:color w:val="292929"/>
          <w:sz w:val="22"/>
          <w:szCs w:val="22"/>
        </w:rPr>
        <w:t>wrote</w:t>
      </w:r>
      <w:r>
        <w:rPr>
          <w:rFonts w:asciiTheme="minorHAnsi" w:hAnsiTheme="minorHAnsi" w:cstheme="minorHAnsi"/>
          <w:color w:val="292929"/>
          <w:sz w:val="22"/>
          <w:szCs w:val="22"/>
        </w:rPr>
        <w:t xml:space="preserve"> to Racing Victoria, enclosing information about the syringes. </w:t>
      </w:r>
      <w:r w:rsidR="00C81C11">
        <w:rPr>
          <w:rFonts w:asciiTheme="minorHAnsi" w:hAnsiTheme="minorHAnsi" w:cstheme="minorHAnsi"/>
          <w:color w:val="292929"/>
          <w:sz w:val="22"/>
          <w:szCs w:val="22"/>
        </w:rPr>
        <w:t>The</w:t>
      </w:r>
      <w:r>
        <w:rPr>
          <w:rFonts w:asciiTheme="minorHAnsi" w:hAnsiTheme="minorHAnsi" w:cstheme="minorHAnsi"/>
          <w:color w:val="292929"/>
          <w:sz w:val="22"/>
          <w:szCs w:val="22"/>
        </w:rPr>
        <w:t xml:space="preserve"> </w:t>
      </w:r>
      <w:r w:rsidR="00C54E2E">
        <w:rPr>
          <w:rFonts w:asciiTheme="minorHAnsi" w:hAnsiTheme="minorHAnsi" w:cstheme="minorHAnsi"/>
          <w:color w:val="292929"/>
          <w:sz w:val="22"/>
          <w:szCs w:val="22"/>
        </w:rPr>
        <w:t>D</w:t>
      </w:r>
      <w:r>
        <w:rPr>
          <w:rFonts w:asciiTheme="minorHAnsi" w:hAnsiTheme="minorHAnsi" w:cstheme="minorHAnsi"/>
          <w:color w:val="292929"/>
          <w:sz w:val="22"/>
          <w:szCs w:val="22"/>
        </w:rPr>
        <w:t xml:space="preserve">efendant said that it </w:t>
      </w:r>
      <w:r w:rsidR="00C81C11">
        <w:rPr>
          <w:rFonts w:asciiTheme="minorHAnsi" w:hAnsiTheme="minorHAnsi" w:cstheme="minorHAnsi"/>
          <w:color w:val="292929"/>
          <w:sz w:val="22"/>
          <w:szCs w:val="22"/>
        </w:rPr>
        <w:t>referred</w:t>
      </w:r>
      <w:r>
        <w:rPr>
          <w:rFonts w:asciiTheme="minorHAnsi" w:hAnsiTheme="minorHAnsi" w:cstheme="minorHAnsi"/>
          <w:color w:val="292929"/>
          <w:sz w:val="22"/>
          <w:szCs w:val="22"/>
        </w:rPr>
        <w:t xml:space="preserve"> the information to </w:t>
      </w:r>
      <w:r w:rsidR="003756C5">
        <w:rPr>
          <w:rFonts w:asciiTheme="minorHAnsi" w:hAnsiTheme="minorHAnsi" w:cstheme="minorHAnsi"/>
          <w:color w:val="292929"/>
          <w:sz w:val="22"/>
          <w:szCs w:val="22"/>
        </w:rPr>
        <w:t>R</w:t>
      </w:r>
      <w:r>
        <w:rPr>
          <w:rFonts w:asciiTheme="minorHAnsi" w:hAnsiTheme="minorHAnsi" w:cstheme="minorHAnsi"/>
          <w:color w:val="292929"/>
          <w:sz w:val="22"/>
          <w:szCs w:val="22"/>
        </w:rPr>
        <w:t>acing Victoria because ‘offences may have been committed against the Rules of Racing involving licenced traine</w:t>
      </w:r>
      <w:r w:rsidR="00C81C11">
        <w:rPr>
          <w:rFonts w:asciiTheme="minorHAnsi" w:hAnsiTheme="minorHAnsi" w:cstheme="minorHAnsi"/>
          <w:color w:val="292929"/>
          <w:sz w:val="22"/>
          <w:szCs w:val="22"/>
        </w:rPr>
        <w:t>r</w:t>
      </w:r>
      <w:r>
        <w:rPr>
          <w:rFonts w:asciiTheme="minorHAnsi" w:hAnsiTheme="minorHAnsi" w:cstheme="minorHAnsi"/>
          <w:color w:val="292929"/>
          <w:sz w:val="22"/>
          <w:szCs w:val="22"/>
        </w:rPr>
        <w:t xml:space="preserve"> </w:t>
      </w:r>
      <w:r w:rsidR="00C81C11">
        <w:rPr>
          <w:rFonts w:asciiTheme="minorHAnsi" w:hAnsiTheme="minorHAnsi" w:cstheme="minorHAnsi"/>
          <w:color w:val="292929"/>
          <w:sz w:val="22"/>
          <w:szCs w:val="22"/>
        </w:rPr>
        <w:t>[the Plaintiff]</w:t>
      </w:r>
      <w:r>
        <w:rPr>
          <w:rFonts w:asciiTheme="minorHAnsi" w:hAnsiTheme="minorHAnsi" w:cstheme="minorHAnsi"/>
          <w:color w:val="292929"/>
          <w:sz w:val="22"/>
          <w:szCs w:val="22"/>
        </w:rPr>
        <w:t>’.</w:t>
      </w:r>
    </w:p>
    <w:p w14:paraId="5AE13FCC" w14:textId="50B05946" w:rsidR="00F9002F" w:rsidRPr="00225748" w:rsidRDefault="00F9002F" w:rsidP="00846EED">
      <w:pPr>
        <w:shd w:val="clear" w:color="auto" w:fill="FFFFFF"/>
        <w:spacing w:before="120" w:after="240"/>
        <w:rPr>
          <w:rFonts w:asciiTheme="minorHAnsi" w:hAnsiTheme="minorHAnsi" w:cstheme="minorHAnsi"/>
          <w:color w:val="292929"/>
          <w:sz w:val="22"/>
          <w:szCs w:val="22"/>
        </w:rPr>
      </w:pPr>
      <w:r>
        <w:rPr>
          <w:rFonts w:asciiTheme="minorHAnsi" w:hAnsiTheme="minorHAnsi" w:cstheme="minorHAnsi"/>
          <w:color w:val="292929"/>
          <w:sz w:val="22"/>
          <w:szCs w:val="22"/>
        </w:rPr>
        <w:t xml:space="preserve">Following the receipt of this information, Racing Victoria formed the view that there were reasonable grounds to suspect the </w:t>
      </w:r>
      <w:r w:rsidR="00814FA6">
        <w:rPr>
          <w:rFonts w:asciiTheme="minorHAnsi" w:hAnsiTheme="minorHAnsi" w:cstheme="minorHAnsi"/>
          <w:color w:val="292929"/>
          <w:sz w:val="22"/>
          <w:szCs w:val="22"/>
        </w:rPr>
        <w:t>P</w:t>
      </w:r>
      <w:r>
        <w:rPr>
          <w:rFonts w:asciiTheme="minorHAnsi" w:hAnsiTheme="minorHAnsi" w:cstheme="minorHAnsi"/>
          <w:color w:val="292929"/>
          <w:sz w:val="22"/>
          <w:szCs w:val="22"/>
        </w:rPr>
        <w:t xml:space="preserve">laintiff breached the Rules of </w:t>
      </w:r>
      <w:r w:rsidR="00F23802">
        <w:rPr>
          <w:rFonts w:asciiTheme="minorHAnsi" w:hAnsiTheme="minorHAnsi" w:cstheme="minorHAnsi"/>
          <w:color w:val="292929"/>
          <w:sz w:val="22"/>
          <w:szCs w:val="22"/>
        </w:rPr>
        <w:t>Racing and</w:t>
      </w:r>
      <w:r>
        <w:rPr>
          <w:rFonts w:asciiTheme="minorHAnsi" w:hAnsiTheme="minorHAnsi" w:cstheme="minorHAnsi"/>
          <w:color w:val="292929"/>
          <w:sz w:val="22"/>
          <w:szCs w:val="22"/>
        </w:rPr>
        <w:t xml:space="preserve"> notified the </w:t>
      </w:r>
      <w:r w:rsidR="00C54E2E">
        <w:rPr>
          <w:rFonts w:asciiTheme="minorHAnsi" w:hAnsiTheme="minorHAnsi" w:cstheme="minorHAnsi"/>
          <w:color w:val="292929"/>
          <w:sz w:val="22"/>
          <w:szCs w:val="22"/>
        </w:rPr>
        <w:t>P</w:t>
      </w:r>
      <w:r>
        <w:rPr>
          <w:rFonts w:asciiTheme="minorHAnsi" w:hAnsiTheme="minorHAnsi" w:cstheme="minorHAnsi"/>
          <w:color w:val="292929"/>
          <w:sz w:val="22"/>
          <w:szCs w:val="22"/>
        </w:rPr>
        <w:t xml:space="preserve">laintiff of </w:t>
      </w:r>
      <w:r w:rsidR="00C54E2E">
        <w:rPr>
          <w:rFonts w:asciiTheme="minorHAnsi" w:hAnsiTheme="minorHAnsi" w:cstheme="minorHAnsi"/>
          <w:color w:val="292929"/>
          <w:sz w:val="22"/>
          <w:szCs w:val="22"/>
        </w:rPr>
        <w:t xml:space="preserve">its </w:t>
      </w:r>
      <w:r>
        <w:rPr>
          <w:rFonts w:asciiTheme="minorHAnsi" w:hAnsiTheme="minorHAnsi" w:cstheme="minorHAnsi"/>
          <w:color w:val="292929"/>
          <w:sz w:val="22"/>
          <w:szCs w:val="22"/>
        </w:rPr>
        <w:t xml:space="preserve">intention to lay charges. Racing Victoria asked the </w:t>
      </w:r>
      <w:r w:rsidR="00814FA6">
        <w:rPr>
          <w:rFonts w:asciiTheme="minorHAnsi" w:hAnsiTheme="minorHAnsi" w:cstheme="minorHAnsi"/>
          <w:color w:val="292929"/>
          <w:sz w:val="22"/>
          <w:szCs w:val="22"/>
        </w:rPr>
        <w:t>P</w:t>
      </w:r>
      <w:r>
        <w:rPr>
          <w:rFonts w:asciiTheme="minorHAnsi" w:hAnsiTheme="minorHAnsi" w:cstheme="minorHAnsi"/>
          <w:color w:val="292929"/>
          <w:sz w:val="22"/>
          <w:szCs w:val="22"/>
        </w:rPr>
        <w:t xml:space="preserve">laintiff to show cause why he ought not be suspended pending a hearing and determination of the charges. </w:t>
      </w:r>
      <w:r w:rsidR="00B31556">
        <w:rPr>
          <w:rFonts w:asciiTheme="minorHAnsi" w:hAnsiTheme="minorHAnsi" w:cstheme="minorHAnsi"/>
          <w:color w:val="292929"/>
          <w:sz w:val="22"/>
          <w:szCs w:val="22"/>
        </w:rPr>
        <w:t>Later that day, t</w:t>
      </w:r>
      <w:r>
        <w:rPr>
          <w:rFonts w:asciiTheme="minorHAnsi" w:hAnsiTheme="minorHAnsi" w:cstheme="minorHAnsi"/>
          <w:color w:val="292929"/>
          <w:sz w:val="22"/>
          <w:szCs w:val="22"/>
        </w:rPr>
        <w:t xml:space="preserve">he </w:t>
      </w:r>
      <w:r w:rsidR="00814FA6">
        <w:rPr>
          <w:rFonts w:asciiTheme="minorHAnsi" w:hAnsiTheme="minorHAnsi" w:cstheme="minorHAnsi"/>
          <w:color w:val="292929"/>
          <w:sz w:val="22"/>
          <w:szCs w:val="22"/>
        </w:rPr>
        <w:t>P</w:t>
      </w:r>
      <w:r>
        <w:rPr>
          <w:rFonts w:asciiTheme="minorHAnsi" w:hAnsiTheme="minorHAnsi" w:cstheme="minorHAnsi"/>
          <w:color w:val="292929"/>
          <w:sz w:val="22"/>
          <w:szCs w:val="22"/>
        </w:rPr>
        <w:t xml:space="preserve">laintiff sought an order restraining Racing Victoria from acting on the information received from the </w:t>
      </w:r>
      <w:r w:rsidR="00814FA6">
        <w:rPr>
          <w:rFonts w:asciiTheme="minorHAnsi" w:hAnsiTheme="minorHAnsi" w:cstheme="minorHAnsi"/>
          <w:color w:val="292929"/>
          <w:sz w:val="22"/>
          <w:szCs w:val="22"/>
        </w:rPr>
        <w:t>D</w:t>
      </w:r>
      <w:r>
        <w:rPr>
          <w:rFonts w:asciiTheme="minorHAnsi" w:hAnsiTheme="minorHAnsi" w:cstheme="minorHAnsi"/>
          <w:color w:val="292929"/>
          <w:sz w:val="22"/>
          <w:szCs w:val="22"/>
        </w:rPr>
        <w:t>efendant.</w:t>
      </w:r>
    </w:p>
    <w:p w14:paraId="7B9735E8" w14:textId="12B6DB2B" w:rsidR="00DD574E" w:rsidRDefault="00F2559B" w:rsidP="00846EED">
      <w:pPr>
        <w:shd w:val="clear" w:color="auto" w:fill="FFFFFF"/>
        <w:spacing w:before="120" w:after="240"/>
        <w:rPr>
          <w:rFonts w:asciiTheme="minorHAnsi" w:hAnsiTheme="minorHAnsi" w:cstheme="minorHAnsi"/>
          <w:color w:val="292929"/>
          <w:sz w:val="22"/>
          <w:szCs w:val="22"/>
        </w:rPr>
      </w:pPr>
      <w:r>
        <w:rPr>
          <w:rFonts w:asciiTheme="minorHAnsi" w:hAnsiTheme="minorHAnsi" w:cstheme="minorHAnsi"/>
          <w:color w:val="292929"/>
          <w:sz w:val="22"/>
          <w:szCs w:val="22"/>
        </w:rPr>
        <w:t xml:space="preserve">The </w:t>
      </w:r>
      <w:r w:rsidR="00814FA6">
        <w:rPr>
          <w:rFonts w:asciiTheme="minorHAnsi" w:hAnsiTheme="minorHAnsi" w:cstheme="minorHAnsi"/>
          <w:color w:val="292929"/>
          <w:sz w:val="22"/>
          <w:szCs w:val="22"/>
        </w:rPr>
        <w:t>P</w:t>
      </w:r>
      <w:r>
        <w:rPr>
          <w:rFonts w:asciiTheme="minorHAnsi" w:hAnsiTheme="minorHAnsi" w:cstheme="minorHAnsi"/>
          <w:color w:val="292929"/>
          <w:sz w:val="22"/>
          <w:szCs w:val="22"/>
        </w:rPr>
        <w:t xml:space="preserve">laintiff </w:t>
      </w:r>
      <w:r w:rsidR="00846EED">
        <w:rPr>
          <w:rFonts w:asciiTheme="minorHAnsi" w:hAnsiTheme="minorHAnsi" w:cstheme="minorHAnsi"/>
          <w:color w:val="292929"/>
          <w:sz w:val="22"/>
          <w:szCs w:val="22"/>
        </w:rPr>
        <w:t xml:space="preserve">submitted that the information obtained </w:t>
      </w:r>
      <w:proofErr w:type="gramStart"/>
      <w:r w:rsidR="00846EED">
        <w:rPr>
          <w:rFonts w:asciiTheme="minorHAnsi" w:hAnsiTheme="minorHAnsi" w:cstheme="minorHAnsi"/>
          <w:color w:val="292929"/>
          <w:sz w:val="22"/>
          <w:szCs w:val="22"/>
        </w:rPr>
        <w:t>as a consequence of</w:t>
      </w:r>
      <w:proofErr w:type="gramEnd"/>
      <w:r w:rsidR="00846EED">
        <w:rPr>
          <w:rFonts w:asciiTheme="minorHAnsi" w:hAnsiTheme="minorHAnsi" w:cstheme="minorHAnsi"/>
          <w:color w:val="292929"/>
          <w:sz w:val="22"/>
          <w:szCs w:val="22"/>
        </w:rPr>
        <w:t xml:space="preserve"> the exercise of a </w:t>
      </w:r>
      <w:r w:rsidR="005755EC">
        <w:rPr>
          <w:rFonts w:asciiTheme="minorHAnsi" w:hAnsiTheme="minorHAnsi" w:cstheme="minorHAnsi"/>
          <w:color w:val="292929"/>
          <w:sz w:val="22"/>
          <w:szCs w:val="22"/>
        </w:rPr>
        <w:t>coercive</w:t>
      </w:r>
      <w:r w:rsidR="00846EED">
        <w:rPr>
          <w:rFonts w:asciiTheme="minorHAnsi" w:hAnsiTheme="minorHAnsi" w:cstheme="minorHAnsi"/>
          <w:color w:val="292929"/>
          <w:sz w:val="22"/>
          <w:szCs w:val="22"/>
        </w:rPr>
        <w:t xml:space="preserve"> power c</w:t>
      </w:r>
      <w:r w:rsidR="003756C5">
        <w:rPr>
          <w:rFonts w:asciiTheme="minorHAnsi" w:hAnsiTheme="minorHAnsi" w:cstheme="minorHAnsi"/>
          <w:color w:val="292929"/>
          <w:sz w:val="22"/>
          <w:szCs w:val="22"/>
        </w:rPr>
        <w:t>ould</w:t>
      </w:r>
      <w:r w:rsidR="00846EED">
        <w:rPr>
          <w:rFonts w:asciiTheme="minorHAnsi" w:hAnsiTheme="minorHAnsi" w:cstheme="minorHAnsi"/>
          <w:color w:val="292929"/>
          <w:sz w:val="22"/>
          <w:szCs w:val="22"/>
        </w:rPr>
        <w:t xml:space="preserve"> only be used for the purpose for which the power was conferred and not otherwise. </w:t>
      </w:r>
      <w:r w:rsidR="003756C5">
        <w:rPr>
          <w:rFonts w:asciiTheme="minorHAnsi" w:hAnsiTheme="minorHAnsi" w:cstheme="minorHAnsi"/>
          <w:color w:val="292929"/>
          <w:sz w:val="22"/>
          <w:szCs w:val="22"/>
        </w:rPr>
        <w:t>He a</w:t>
      </w:r>
      <w:r w:rsidR="00846EED">
        <w:rPr>
          <w:rFonts w:asciiTheme="minorHAnsi" w:hAnsiTheme="minorHAnsi" w:cstheme="minorHAnsi"/>
          <w:color w:val="292929"/>
          <w:sz w:val="22"/>
          <w:szCs w:val="22"/>
        </w:rPr>
        <w:t xml:space="preserve">rgued that </w:t>
      </w:r>
      <w:r w:rsidR="003756C5">
        <w:rPr>
          <w:rFonts w:asciiTheme="minorHAnsi" w:hAnsiTheme="minorHAnsi" w:cstheme="minorHAnsi"/>
          <w:color w:val="292929"/>
          <w:sz w:val="22"/>
          <w:szCs w:val="22"/>
        </w:rPr>
        <w:t xml:space="preserve">the </w:t>
      </w:r>
      <w:r w:rsidR="00814FA6">
        <w:rPr>
          <w:rFonts w:asciiTheme="minorHAnsi" w:hAnsiTheme="minorHAnsi" w:cstheme="minorHAnsi"/>
          <w:color w:val="292929"/>
          <w:sz w:val="22"/>
          <w:szCs w:val="22"/>
        </w:rPr>
        <w:t>D</w:t>
      </w:r>
      <w:r w:rsidR="003756C5">
        <w:rPr>
          <w:rFonts w:asciiTheme="minorHAnsi" w:hAnsiTheme="minorHAnsi" w:cstheme="minorHAnsi"/>
          <w:color w:val="292929"/>
          <w:sz w:val="22"/>
          <w:szCs w:val="22"/>
        </w:rPr>
        <w:t xml:space="preserve">efendant </w:t>
      </w:r>
      <w:r w:rsidR="00846EED">
        <w:rPr>
          <w:rFonts w:asciiTheme="minorHAnsi" w:hAnsiTheme="minorHAnsi" w:cstheme="minorHAnsi"/>
          <w:color w:val="292929"/>
          <w:sz w:val="22"/>
          <w:szCs w:val="22"/>
        </w:rPr>
        <w:t xml:space="preserve">had a positive duty of confidentiality in relation to the items seized under warrant and </w:t>
      </w:r>
      <w:r w:rsidR="003756C5">
        <w:rPr>
          <w:rFonts w:asciiTheme="minorHAnsi" w:hAnsiTheme="minorHAnsi" w:cstheme="minorHAnsi"/>
          <w:color w:val="292929"/>
          <w:sz w:val="22"/>
          <w:szCs w:val="22"/>
        </w:rPr>
        <w:t xml:space="preserve">that </w:t>
      </w:r>
      <w:r w:rsidR="003756C5">
        <w:rPr>
          <w:rFonts w:asciiTheme="minorHAnsi" w:hAnsiTheme="minorHAnsi" w:cstheme="minorHAnsi"/>
          <w:color w:val="292929"/>
          <w:sz w:val="22"/>
          <w:szCs w:val="22"/>
        </w:rPr>
        <w:lastRenderedPageBreak/>
        <w:t xml:space="preserve">that duty also applied to </w:t>
      </w:r>
      <w:r w:rsidR="00846EED">
        <w:rPr>
          <w:rFonts w:asciiTheme="minorHAnsi" w:hAnsiTheme="minorHAnsi" w:cstheme="minorHAnsi"/>
          <w:color w:val="292929"/>
          <w:sz w:val="22"/>
          <w:szCs w:val="22"/>
        </w:rPr>
        <w:t xml:space="preserve">any information derived from those items. </w:t>
      </w:r>
      <w:r w:rsidR="003756C5">
        <w:rPr>
          <w:rFonts w:asciiTheme="minorHAnsi" w:hAnsiTheme="minorHAnsi" w:cstheme="minorHAnsi"/>
          <w:color w:val="292929"/>
          <w:sz w:val="22"/>
          <w:szCs w:val="22"/>
        </w:rPr>
        <w:t xml:space="preserve">The </w:t>
      </w:r>
      <w:r w:rsidR="00814FA6">
        <w:rPr>
          <w:rFonts w:asciiTheme="minorHAnsi" w:hAnsiTheme="minorHAnsi" w:cstheme="minorHAnsi"/>
          <w:color w:val="292929"/>
          <w:sz w:val="22"/>
          <w:szCs w:val="22"/>
        </w:rPr>
        <w:t>P</w:t>
      </w:r>
      <w:r w:rsidR="003756C5">
        <w:rPr>
          <w:rFonts w:asciiTheme="minorHAnsi" w:hAnsiTheme="minorHAnsi" w:cstheme="minorHAnsi"/>
          <w:color w:val="292929"/>
          <w:sz w:val="22"/>
          <w:szCs w:val="22"/>
        </w:rPr>
        <w:t>laintiff submitted t</w:t>
      </w:r>
      <w:r w:rsidR="00846EED">
        <w:rPr>
          <w:rFonts w:asciiTheme="minorHAnsi" w:hAnsiTheme="minorHAnsi" w:cstheme="minorHAnsi"/>
          <w:color w:val="292929"/>
          <w:sz w:val="22"/>
          <w:szCs w:val="22"/>
        </w:rPr>
        <w:t xml:space="preserve">he only use that could lawfully be made of the information </w:t>
      </w:r>
      <w:r w:rsidR="003756C5">
        <w:rPr>
          <w:rFonts w:asciiTheme="minorHAnsi" w:hAnsiTheme="minorHAnsi" w:cstheme="minorHAnsi"/>
          <w:color w:val="292929"/>
          <w:sz w:val="22"/>
          <w:szCs w:val="22"/>
        </w:rPr>
        <w:t>derived from the things seized</w:t>
      </w:r>
      <w:r w:rsidR="00846EED">
        <w:rPr>
          <w:rFonts w:asciiTheme="minorHAnsi" w:hAnsiTheme="minorHAnsi" w:cstheme="minorHAnsi"/>
          <w:color w:val="292929"/>
          <w:sz w:val="22"/>
          <w:szCs w:val="22"/>
        </w:rPr>
        <w:t xml:space="preserve"> under warrant was for</w:t>
      </w:r>
      <w:r w:rsidR="003756C5">
        <w:rPr>
          <w:rFonts w:asciiTheme="minorHAnsi" w:hAnsiTheme="minorHAnsi" w:cstheme="minorHAnsi"/>
          <w:color w:val="292929"/>
          <w:sz w:val="22"/>
          <w:szCs w:val="22"/>
        </w:rPr>
        <w:t xml:space="preserve"> t</w:t>
      </w:r>
      <w:r w:rsidR="00846EED">
        <w:rPr>
          <w:rFonts w:asciiTheme="minorHAnsi" w:hAnsiTheme="minorHAnsi" w:cstheme="minorHAnsi"/>
          <w:color w:val="292929"/>
          <w:sz w:val="22"/>
          <w:szCs w:val="22"/>
        </w:rPr>
        <w:t>he investigation and prosecution of indictable offences.</w:t>
      </w:r>
    </w:p>
    <w:p w14:paraId="022E8A37" w14:textId="0EFB8F0E" w:rsidR="00846EED" w:rsidRDefault="00846EED" w:rsidP="00846EED">
      <w:pPr>
        <w:pStyle w:val="Heading2"/>
        <w:shd w:val="clear" w:color="auto" w:fill="FFFFFF"/>
        <w:spacing w:before="120" w:beforeAutospacing="0" w:after="240" w:afterAutospacing="0"/>
        <w:rPr>
          <w:rFonts w:asciiTheme="minorHAnsi" w:hAnsiTheme="minorHAnsi" w:cstheme="minorHAnsi"/>
          <w:b w:val="0"/>
          <w:bCs w:val="0"/>
          <w:color w:val="430098"/>
          <w:sz w:val="28"/>
          <w:szCs w:val="28"/>
        </w:rPr>
      </w:pPr>
      <w:r>
        <w:rPr>
          <w:rFonts w:asciiTheme="minorHAnsi" w:hAnsiTheme="minorHAnsi" w:cstheme="minorHAnsi"/>
          <w:b w:val="0"/>
          <w:bCs w:val="0"/>
          <w:color w:val="430098"/>
          <w:sz w:val="28"/>
          <w:szCs w:val="28"/>
        </w:rPr>
        <w:t xml:space="preserve">The </w:t>
      </w:r>
      <w:r w:rsidRPr="00846EED">
        <w:rPr>
          <w:rFonts w:asciiTheme="minorHAnsi" w:hAnsiTheme="minorHAnsi" w:cstheme="minorHAnsi"/>
          <w:b w:val="0"/>
          <w:bCs w:val="0"/>
          <w:color w:val="430098"/>
          <w:sz w:val="28"/>
          <w:szCs w:val="28"/>
        </w:rPr>
        <w:t>Decision</w:t>
      </w:r>
    </w:p>
    <w:p w14:paraId="26F33686" w14:textId="169AB0A8" w:rsidR="005755EC" w:rsidRDefault="005755EC" w:rsidP="005755EC">
      <w:pPr>
        <w:shd w:val="clear" w:color="auto" w:fill="FFFFFF"/>
        <w:spacing w:before="120" w:after="240"/>
        <w:rPr>
          <w:rFonts w:asciiTheme="minorHAnsi" w:hAnsiTheme="minorHAnsi" w:cstheme="minorHAnsi"/>
          <w:color w:val="292929"/>
          <w:sz w:val="22"/>
          <w:szCs w:val="22"/>
        </w:rPr>
      </w:pPr>
      <w:r w:rsidRPr="005755EC">
        <w:rPr>
          <w:rFonts w:asciiTheme="minorHAnsi" w:hAnsiTheme="minorHAnsi" w:cstheme="minorHAnsi"/>
          <w:color w:val="292929"/>
          <w:sz w:val="22"/>
          <w:szCs w:val="22"/>
        </w:rPr>
        <w:t xml:space="preserve">The </w:t>
      </w:r>
      <w:r w:rsidR="003756C5">
        <w:rPr>
          <w:rFonts w:asciiTheme="minorHAnsi" w:hAnsiTheme="minorHAnsi" w:cstheme="minorHAnsi"/>
          <w:color w:val="292929"/>
          <w:sz w:val="22"/>
          <w:szCs w:val="22"/>
        </w:rPr>
        <w:t>C</w:t>
      </w:r>
      <w:r w:rsidRPr="005755EC">
        <w:rPr>
          <w:rFonts w:asciiTheme="minorHAnsi" w:hAnsiTheme="minorHAnsi" w:cstheme="minorHAnsi"/>
          <w:color w:val="292929"/>
          <w:sz w:val="22"/>
          <w:szCs w:val="22"/>
        </w:rPr>
        <w:t xml:space="preserve">ourt </w:t>
      </w:r>
      <w:r w:rsidR="00814FA6">
        <w:rPr>
          <w:rFonts w:asciiTheme="minorHAnsi" w:hAnsiTheme="minorHAnsi" w:cstheme="minorHAnsi"/>
          <w:color w:val="292929"/>
          <w:sz w:val="22"/>
          <w:szCs w:val="22"/>
        </w:rPr>
        <w:t>found</w:t>
      </w:r>
      <w:r w:rsidRPr="005755EC">
        <w:rPr>
          <w:rFonts w:asciiTheme="minorHAnsi" w:hAnsiTheme="minorHAnsi" w:cstheme="minorHAnsi"/>
          <w:color w:val="292929"/>
          <w:sz w:val="22"/>
          <w:szCs w:val="22"/>
        </w:rPr>
        <w:t xml:space="preserve"> the </w:t>
      </w:r>
      <w:r>
        <w:rPr>
          <w:rFonts w:asciiTheme="minorHAnsi" w:hAnsiTheme="minorHAnsi" w:cstheme="minorHAnsi"/>
          <w:color w:val="292929"/>
          <w:sz w:val="22"/>
          <w:szCs w:val="22"/>
        </w:rPr>
        <w:t>C</w:t>
      </w:r>
      <w:r w:rsidRPr="005755EC">
        <w:rPr>
          <w:rFonts w:asciiTheme="minorHAnsi" w:hAnsiTheme="minorHAnsi" w:cstheme="minorHAnsi"/>
          <w:color w:val="292929"/>
          <w:sz w:val="22"/>
          <w:szCs w:val="22"/>
        </w:rPr>
        <w:t>rime</w:t>
      </w:r>
      <w:r>
        <w:rPr>
          <w:rFonts w:asciiTheme="minorHAnsi" w:hAnsiTheme="minorHAnsi" w:cstheme="minorHAnsi"/>
          <w:color w:val="292929"/>
          <w:sz w:val="22"/>
          <w:szCs w:val="22"/>
        </w:rPr>
        <w:t>s</w:t>
      </w:r>
      <w:r w:rsidRPr="005755EC">
        <w:rPr>
          <w:rFonts w:asciiTheme="minorHAnsi" w:hAnsiTheme="minorHAnsi" w:cstheme="minorHAnsi"/>
          <w:color w:val="292929"/>
          <w:sz w:val="22"/>
          <w:szCs w:val="22"/>
        </w:rPr>
        <w:t xml:space="preserve"> </w:t>
      </w:r>
      <w:r>
        <w:rPr>
          <w:rFonts w:asciiTheme="minorHAnsi" w:hAnsiTheme="minorHAnsi" w:cstheme="minorHAnsi"/>
          <w:color w:val="292929"/>
          <w:sz w:val="22"/>
          <w:szCs w:val="22"/>
        </w:rPr>
        <w:t>A</w:t>
      </w:r>
      <w:r w:rsidRPr="005755EC">
        <w:rPr>
          <w:rFonts w:asciiTheme="minorHAnsi" w:hAnsiTheme="minorHAnsi" w:cstheme="minorHAnsi"/>
          <w:color w:val="292929"/>
          <w:sz w:val="22"/>
          <w:szCs w:val="22"/>
        </w:rPr>
        <w:t>ct does not make express provision for the use or disclosure of things seized under a search warrant and</w:t>
      </w:r>
      <w:r w:rsidR="00355A09">
        <w:rPr>
          <w:rFonts w:asciiTheme="minorHAnsi" w:hAnsiTheme="minorHAnsi" w:cstheme="minorHAnsi"/>
          <w:color w:val="292929"/>
          <w:sz w:val="22"/>
          <w:szCs w:val="22"/>
        </w:rPr>
        <w:t xml:space="preserve"> instead</w:t>
      </w:r>
      <w:r w:rsidRPr="005755EC">
        <w:rPr>
          <w:rFonts w:asciiTheme="minorHAnsi" w:hAnsiTheme="minorHAnsi" w:cstheme="minorHAnsi"/>
          <w:color w:val="292929"/>
          <w:sz w:val="22"/>
          <w:szCs w:val="22"/>
        </w:rPr>
        <w:t xml:space="preserve"> requires that the</w:t>
      </w:r>
      <w:r w:rsidR="00B31556">
        <w:rPr>
          <w:rFonts w:asciiTheme="minorHAnsi" w:hAnsiTheme="minorHAnsi" w:cstheme="minorHAnsi"/>
          <w:color w:val="292929"/>
          <w:sz w:val="22"/>
          <w:szCs w:val="22"/>
        </w:rPr>
        <w:t>se</w:t>
      </w:r>
      <w:r w:rsidRPr="005755EC">
        <w:rPr>
          <w:rFonts w:asciiTheme="minorHAnsi" w:hAnsiTheme="minorHAnsi" w:cstheme="minorHAnsi"/>
          <w:color w:val="292929"/>
          <w:sz w:val="22"/>
          <w:szCs w:val="22"/>
        </w:rPr>
        <w:t xml:space="preserve"> things seized be brought before </w:t>
      </w:r>
      <w:r w:rsidR="00355A09">
        <w:rPr>
          <w:rFonts w:asciiTheme="minorHAnsi" w:hAnsiTheme="minorHAnsi" w:cstheme="minorHAnsi"/>
          <w:color w:val="292929"/>
          <w:sz w:val="22"/>
          <w:szCs w:val="22"/>
        </w:rPr>
        <w:t>the</w:t>
      </w:r>
      <w:r w:rsidRPr="005755EC">
        <w:rPr>
          <w:rFonts w:asciiTheme="minorHAnsi" w:hAnsiTheme="minorHAnsi" w:cstheme="minorHAnsi"/>
          <w:color w:val="292929"/>
          <w:sz w:val="22"/>
          <w:szCs w:val="22"/>
        </w:rPr>
        <w:t xml:space="preserve"> </w:t>
      </w:r>
      <w:r w:rsidR="00355A09">
        <w:rPr>
          <w:rFonts w:asciiTheme="minorHAnsi" w:hAnsiTheme="minorHAnsi" w:cstheme="minorHAnsi"/>
          <w:color w:val="292929"/>
          <w:sz w:val="22"/>
          <w:szCs w:val="22"/>
        </w:rPr>
        <w:t>M</w:t>
      </w:r>
      <w:r w:rsidRPr="005755EC">
        <w:rPr>
          <w:rFonts w:asciiTheme="minorHAnsi" w:hAnsiTheme="minorHAnsi" w:cstheme="minorHAnsi"/>
          <w:color w:val="292929"/>
          <w:sz w:val="22"/>
          <w:szCs w:val="22"/>
        </w:rPr>
        <w:t>agistrates</w:t>
      </w:r>
      <w:r w:rsidR="00C81C11">
        <w:rPr>
          <w:rFonts w:asciiTheme="minorHAnsi" w:hAnsiTheme="minorHAnsi" w:cstheme="minorHAnsi"/>
          <w:color w:val="292929"/>
          <w:sz w:val="22"/>
          <w:szCs w:val="22"/>
        </w:rPr>
        <w:t>’</w:t>
      </w:r>
      <w:r w:rsidRPr="005755EC">
        <w:rPr>
          <w:rFonts w:asciiTheme="minorHAnsi" w:hAnsiTheme="minorHAnsi" w:cstheme="minorHAnsi"/>
          <w:color w:val="292929"/>
          <w:sz w:val="22"/>
          <w:szCs w:val="22"/>
        </w:rPr>
        <w:t xml:space="preserve"> </w:t>
      </w:r>
      <w:r w:rsidR="00355A09">
        <w:rPr>
          <w:rFonts w:asciiTheme="minorHAnsi" w:hAnsiTheme="minorHAnsi" w:cstheme="minorHAnsi"/>
          <w:color w:val="292929"/>
          <w:sz w:val="22"/>
          <w:szCs w:val="22"/>
        </w:rPr>
        <w:t>C</w:t>
      </w:r>
      <w:r w:rsidRPr="005755EC">
        <w:rPr>
          <w:rFonts w:asciiTheme="minorHAnsi" w:hAnsiTheme="minorHAnsi" w:cstheme="minorHAnsi"/>
          <w:color w:val="292929"/>
          <w:sz w:val="22"/>
          <w:szCs w:val="22"/>
        </w:rPr>
        <w:t xml:space="preserve">ourt </w:t>
      </w:r>
      <w:r w:rsidR="00355A09">
        <w:rPr>
          <w:rFonts w:asciiTheme="minorHAnsi" w:hAnsiTheme="minorHAnsi" w:cstheme="minorHAnsi"/>
          <w:color w:val="292929"/>
          <w:sz w:val="22"/>
          <w:szCs w:val="22"/>
        </w:rPr>
        <w:t>‘</w:t>
      </w:r>
      <w:r w:rsidRPr="005755EC">
        <w:rPr>
          <w:rFonts w:asciiTheme="minorHAnsi" w:hAnsiTheme="minorHAnsi" w:cstheme="minorHAnsi"/>
          <w:color w:val="292929"/>
          <w:sz w:val="22"/>
          <w:szCs w:val="22"/>
        </w:rPr>
        <w:t>to be dealt with according to law</w:t>
      </w:r>
      <w:r w:rsidR="00355A09">
        <w:rPr>
          <w:rFonts w:asciiTheme="minorHAnsi" w:hAnsiTheme="minorHAnsi" w:cstheme="minorHAnsi"/>
          <w:color w:val="292929"/>
          <w:sz w:val="22"/>
          <w:szCs w:val="22"/>
        </w:rPr>
        <w:t>’</w:t>
      </w:r>
      <w:r w:rsidRPr="005755EC">
        <w:rPr>
          <w:rFonts w:asciiTheme="minorHAnsi" w:hAnsiTheme="minorHAnsi" w:cstheme="minorHAnsi"/>
          <w:color w:val="292929"/>
          <w:sz w:val="22"/>
          <w:szCs w:val="22"/>
        </w:rPr>
        <w:t xml:space="preserve">. </w:t>
      </w:r>
      <w:r w:rsidR="00814FA6">
        <w:rPr>
          <w:rFonts w:asciiTheme="minorHAnsi" w:hAnsiTheme="minorHAnsi" w:cstheme="minorHAnsi"/>
          <w:color w:val="292929"/>
          <w:sz w:val="22"/>
          <w:szCs w:val="22"/>
        </w:rPr>
        <w:t>It held</w:t>
      </w:r>
      <w:r w:rsidR="00A30187">
        <w:rPr>
          <w:rFonts w:asciiTheme="minorHAnsi" w:hAnsiTheme="minorHAnsi" w:cstheme="minorHAnsi"/>
          <w:color w:val="292929"/>
          <w:sz w:val="22"/>
          <w:szCs w:val="22"/>
        </w:rPr>
        <w:t xml:space="preserve"> </w:t>
      </w:r>
      <w:r>
        <w:rPr>
          <w:rFonts w:asciiTheme="minorHAnsi" w:hAnsiTheme="minorHAnsi" w:cstheme="minorHAnsi"/>
          <w:color w:val="292929"/>
          <w:sz w:val="22"/>
          <w:szCs w:val="22"/>
        </w:rPr>
        <w:t xml:space="preserve">that ‘to be dealt with according to law’ simply requires </w:t>
      </w:r>
      <w:r w:rsidR="00A30187">
        <w:rPr>
          <w:rFonts w:asciiTheme="minorHAnsi" w:hAnsiTheme="minorHAnsi" w:cstheme="minorHAnsi"/>
          <w:color w:val="292929"/>
          <w:sz w:val="22"/>
          <w:szCs w:val="22"/>
        </w:rPr>
        <w:t>the</w:t>
      </w:r>
      <w:r>
        <w:rPr>
          <w:rFonts w:asciiTheme="minorHAnsi" w:hAnsiTheme="minorHAnsi" w:cstheme="minorHAnsi"/>
          <w:color w:val="292929"/>
          <w:sz w:val="22"/>
          <w:szCs w:val="22"/>
        </w:rPr>
        <w:t xml:space="preserve"> po</w:t>
      </w:r>
      <w:r w:rsidR="00DD574E">
        <w:rPr>
          <w:rFonts w:asciiTheme="minorHAnsi" w:hAnsiTheme="minorHAnsi" w:cstheme="minorHAnsi"/>
          <w:color w:val="292929"/>
          <w:sz w:val="22"/>
          <w:szCs w:val="22"/>
        </w:rPr>
        <w:t xml:space="preserve">lice </w:t>
      </w:r>
      <w:r>
        <w:rPr>
          <w:rFonts w:asciiTheme="minorHAnsi" w:hAnsiTheme="minorHAnsi" w:cstheme="minorHAnsi"/>
          <w:color w:val="292929"/>
          <w:sz w:val="22"/>
          <w:szCs w:val="22"/>
        </w:rPr>
        <w:t xml:space="preserve">officer who executes a search warrant to take anything seized under warrant to the </w:t>
      </w:r>
      <w:r w:rsidR="003756C5">
        <w:rPr>
          <w:rFonts w:asciiTheme="minorHAnsi" w:hAnsiTheme="minorHAnsi" w:cstheme="minorHAnsi"/>
          <w:color w:val="292929"/>
          <w:sz w:val="22"/>
          <w:szCs w:val="22"/>
        </w:rPr>
        <w:t>M</w:t>
      </w:r>
      <w:r>
        <w:rPr>
          <w:rFonts w:asciiTheme="minorHAnsi" w:hAnsiTheme="minorHAnsi" w:cstheme="minorHAnsi"/>
          <w:color w:val="292929"/>
          <w:sz w:val="22"/>
          <w:szCs w:val="22"/>
        </w:rPr>
        <w:t>agistrates</w:t>
      </w:r>
      <w:r w:rsidR="00C81C11">
        <w:rPr>
          <w:rFonts w:asciiTheme="minorHAnsi" w:hAnsiTheme="minorHAnsi" w:cstheme="minorHAnsi"/>
          <w:color w:val="292929"/>
          <w:sz w:val="22"/>
          <w:szCs w:val="22"/>
        </w:rPr>
        <w:t>’</w:t>
      </w:r>
      <w:r>
        <w:rPr>
          <w:rFonts w:asciiTheme="minorHAnsi" w:hAnsiTheme="minorHAnsi" w:cstheme="minorHAnsi"/>
          <w:color w:val="292929"/>
          <w:sz w:val="22"/>
          <w:szCs w:val="22"/>
        </w:rPr>
        <w:t xml:space="preserve"> </w:t>
      </w:r>
      <w:r w:rsidR="003756C5">
        <w:rPr>
          <w:rFonts w:asciiTheme="minorHAnsi" w:hAnsiTheme="minorHAnsi" w:cstheme="minorHAnsi"/>
          <w:color w:val="292929"/>
          <w:sz w:val="22"/>
          <w:szCs w:val="22"/>
        </w:rPr>
        <w:t>C</w:t>
      </w:r>
      <w:r>
        <w:rPr>
          <w:rFonts w:asciiTheme="minorHAnsi" w:hAnsiTheme="minorHAnsi" w:cstheme="minorHAnsi"/>
          <w:color w:val="292929"/>
          <w:sz w:val="22"/>
          <w:szCs w:val="22"/>
        </w:rPr>
        <w:t xml:space="preserve">ourt for the court to determine what is to be done with the seized things. In this case, directions were made that the seized things be retained in the possession of the </w:t>
      </w:r>
      <w:r w:rsidR="00DD574E">
        <w:rPr>
          <w:rFonts w:asciiTheme="minorHAnsi" w:hAnsiTheme="minorHAnsi" w:cstheme="minorHAnsi"/>
          <w:color w:val="292929"/>
          <w:sz w:val="22"/>
          <w:szCs w:val="22"/>
        </w:rPr>
        <w:t>police</w:t>
      </w:r>
      <w:r>
        <w:rPr>
          <w:rFonts w:asciiTheme="minorHAnsi" w:hAnsiTheme="minorHAnsi" w:cstheme="minorHAnsi"/>
          <w:color w:val="292929"/>
          <w:sz w:val="22"/>
          <w:szCs w:val="22"/>
        </w:rPr>
        <w:t xml:space="preserve"> and directions were made for the analysis of some items</w:t>
      </w:r>
      <w:r w:rsidR="00DD574E">
        <w:rPr>
          <w:rFonts w:asciiTheme="minorHAnsi" w:hAnsiTheme="minorHAnsi" w:cstheme="minorHAnsi"/>
          <w:color w:val="292929"/>
          <w:sz w:val="22"/>
          <w:szCs w:val="22"/>
        </w:rPr>
        <w:t xml:space="preserve"> including syringes. </w:t>
      </w:r>
    </w:p>
    <w:p w14:paraId="72A68513" w14:textId="47FD8AF9" w:rsidR="00846EED" w:rsidRPr="00846EED" w:rsidRDefault="00A30187" w:rsidP="00846EED">
      <w:pPr>
        <w:shd w:val="clear" w:color="auto" w:fill="FFFFFF"/>
        <w:spacing w:before="120" w:after="240"/>
        <w:rPr>
          <w:rStyle w:val="Strong"/>
          <w:rFonts w:asciiTheme="minorHAnsi" w:hAnsiTheme="minorHAnsi" w:cstheme="minorHAnsi"/>
          <w:b w:val="0"/>
          <w:bCs w:val="0"/>
          <w:color w:val="430098"/>
        </w:rPr>
      </w:pPr>
      <w:r>
        <w:rPr>
          <w:rFonts w:asciiTheme="minorHAnsi" w:hAnsiTheme="minorHAnsi" w:cstheme="minorHAnsi"/>
          <w:color w:val="292929"/>
          <w:sz w:val="22"/>
          <w:szCs w:val="22"/>
        </w:rPr>
        <w:t>The Court held that t</w:t>
      </w:r>
      <w:r w:rsidR="00DD574E">
        <w:rPr>
          <w:rFonts w:asciiTheme="minorHAnsi" w:hAnsiTheme="minorHAnsi" w:cstheme="minorHAnsi"/>
          <w:color w:val="292929"/>
          <w:sz w:val="22"/>
          <w:szCs w:val="22"/>
        </w:rPr>
        <w:t>here is a limitation on the use that may be made by police of things seized under a search warrant issued under s</w:t>
      </w:r>
      <w:r w:rsidR="00B31556">
        <w:rPr>
          <w:rFonts w:asciiTheme="minorHAnsi" w:hAnsiTheme="minorHAnsi" w:cstheme="minorHAnsi"/>
          <w:color w:val="292929"/>
          <w:sz w:val="22"/>
          <w:szCs w:val="22"/>
        </w:rPr>
        <w:t>ection</w:t>
      </w:r>
      <w:r w:rsidR="00DD574E">
        <w:rPr>
          <w:rFonts w:asciiTheme="minorHAnsi" w:hAnsiTheme="minorHAnsi" w:cstheme="minorHAnsi"/>
          <w:color w:val="292929"/>
          <w:sz w:val="22"/>
          <w:szCs w:val="22"/>
        </w:rPr>
        <w:t xml:space="preserve"> 465 of the </w:t>
      </w:r>
      <w:r>
        <w:rPr>
          <w:rFonts w:asciiTheme="minorHAnsi" w:hAnsiTheme="minorHAnsi" w:cstheme="minorHAnsi"/>
          <w:color w:val="292929"/>
          <w:sz w:val="22"/>
          <w:szCs w:val="22"/>
        </w:rPr>
        <w:t>C</w:t>
      </w:r>
      <w:r w:rsidR="00DD574E">
        <w:rPr>
          <w:rFonts w:asciiTheme="minorHAnsi" w:hAnsiTheme="minorHAnsi" w:cstheme="minorHAnsi"/>
          <w:color w:val="292929"/>
          <w:sz w:val="22"/>
          <w:szCs w:val="22"/>
        </w:rPr>
        <w:t xml:space="preserve">rimes </w:t>
      </w:r>
      <w:r>
        <w:rPr>
          <w:rFonts w:asciiTheme="minorHAnsi" w:hAnsiTheme="minorHAnsi" w:cstheme="minorHAnsi"/>
          <w:color w:val="292929"/>
          <w:sz w:val="22"/>
          <w:szCs w:val="22"/>
        </w:rPr>
        <w:t>A</w:t>
      </w:r>
      <w:r w:rsidR="00DD574E">
        <w:rPr>
          <w:rFonts w:asciiTheme="minorHAnsi" w:hAnsiTheme="minorHAnsi" w:cstheme="minorHAnsi"/>
          <w:color w:val="292929"/>
          <w:sz w:val="22"/>
          <w:szCs w:val="22"/>
        </w:rPr>
        <w:t>ct,</w:t>
      </w:r>
      <w:r>
        <w:rPr>
          <w:rFonts w:asciiTheme="minorHAnsi" w:hAnsiTheme="minorHAnsi" w:cstheme="minorHAnsi"/>
          <w:color w:val="292929"/>
          <w:sz w:val="22"/>
          <w:szCs w:val="22"/>
        </w:rPr>
        <w:t xml:space="preserve"> and that</w:t>
      </w:r>
      <w:r w:rsidR="00DD574E">
        <w:rPr>
          <w:rFonts w:asciiTheme="minorHAnsi" w:hAnsiTheme="minorHAnsi" w:cstheme="minorHAnsi"/>
          <w:color w:val="292929"/>
          <w:sz w:val="22"/>
          <w:szCs w:val="22"/>
        </w:rPr>
        <w:t xml:space="preserve"> those things must be taken before the magistrate </w:t>
      </w:r>
      <w:r>
        <w:rPr>
          <w:rFonts w:asciiTheme="minorHAnsi" w:hAnsiTheme="minorHAnsi" w:cstheme="minorHAnsi"/>
          <w:color w:val="292929"/>
          <w:sz w:val="22"/>
          <w:szCs w:val="22"/>
        </w:rPr>
        <w:t>‘</w:t>
      </w:r>
      <w:r w:rsidR="00DD574E">
        <w:rPr>
          <w:rFonts w:asciiTheme="minorHAnsi" w:hAnsiTheme="minorHAnsi" w:cstheme="minorHAnsi"/>
          <w:color w:val="292929"/>
          <w:sz w:val="22"/>
          <w:szCs w:val="22"/>
        </w:rPr>
        <w:t>to be dealt with under law</w:t>
      </w:r>
      <w:r>
        <w:rPr>
          <w:rFonts w:asciiTheme="minorHAnsi" w:hAnsiTheme="minorHAnsi" w:cstheme="minorHAnsi"/>
          <w:color w:val="292929"/>
          <w:sz w:val="22"/>
          <w:szCs w:val="22"/>
        </w:rPr>
        <w:t>’.</w:t>
      </w:r>
      <w:r w:rsidR="00DD574E">
        <w:rPr>
          <w:rFonts w:asciiTheme="minorHAnsi" w:hAnsiTheme="minorHAnsi" w:cstheme="minorHAnsi"/>
          <w:color w:val="292929"/>
          <w:sz w:val="22"/>
          <w:szCs w:val="22"/>
        </w:rPr>
        <w:t xml:space="preserve"> </w:t>
      </w:r>
      <w:r>
        <w:rPr>
          <w:rFonts w:asciiTheme="minorHAnsi" w:hAnsiTheme="minorHAnsi" w:cstheme="minorHAnsi"/>
          <w:color w:val="292929"/>
          <w:sz w:val="22"/>
          <w:szCs w:val="22"/>
        </w:rPr>
        <w:t>P</w:t>
      </w:r>
      <w:r w:rsidR="00DD574E">
        <w:rPr>
          <w:rFonts w:asciiTheme="minorHAnsi" w:hAnsiTheme="minorHAnsi" w:cstheme="minorHAnsi"/>
          <w:color w:val="292929"/>
          <w:sz w:val="22"/>
          <w:szCs w:val="22"/>
        </w:rPr>
        <w:t xml:space="preserve">olice may then deal with the things as directed by the </w:t>
      </w:r>
      <w:r>
        <w:rPr>
          <w:rFonts w:asciiTheme="minorHAnsi" w:hAnsiTheme="minorHAnsi" w:cstheme="minorHAnsi"/>
          <w:color w:val="292929"/>
          <w:sz w:val="22"/>
          <w:szCs w:val="22"/>
        </w:rPr>
        <w:t>M</w:t>
      </w:r>
      <w:r w:rsidR="00DD574E">
        <w:rPr>
          <w:rFonts w:asciiTheme="minorHAnsi" w:hAnsiTheme="minorHAnsi" w:cstheme="minorHAnsi"/>
          <w:color w:val="292929"/>
          <w:sz w:val="22"/>
          <w:szCs w:val="22"/>
        </w:rPr>
        <w:t>agistrate</w:t>
      </w:r>
      <w:r w:rsidR="003A6963">
        <w:rPr>
          <w:rFonts w:asciiTheme="minorHAnsi" w:hAnsiTheme="minorHAnsi" w:cstheme="minorHAnsi"/>
          <w:color w:val="292929"/>
          <w:sz w:val="22"/>
          <w:szCs w:val="22"/>
        </w:rPr>
        <w:t>s</w:t>
      </w:r>
      <w:r w:rsidR="00C81C11">
        <w:rPr>
          <w:rFonts w:asciiTheme="minorHAnsi" w:hAnsiTheme="minorHAnsi" w:cstheme="minorHAnsi"/>
          <w:color w:val="292929"/>
          <w:sz w:val="22"/>
          <w:szCs w:val="22"/>
        </w:rPr>
        <w:t>’</w:t>
      </w:r>
      <w:r w:rsidR="003A6963">
        <w:rPr>
          <w:rFonts w:asciiTheme="minorHAnsi" w:hAnsiTheme="minorHAnsi" w:cstheme="minorHAnsi"/>
          <w:color w:val="292929"/>
          <w:sz w:val="22"/>
          <w:szCs w:val="22"/>
        </w:rPr>
        <w:t xml:space="preserve"> Court</w:t>
      </w:r>
      <w:r>
        <w:rPr>
          <w:rFonts w:asciiTheme="minorHAnsi" w:hAnsiTheme="minorHAnsi" w:cstheme="minorHAnsi"/>
          <w:color w:val="292929"/>
          <w:sz w:val="22"/>
          <w:szCs w:val="22"/>
        </w:rPr>
        <w:t>, and</w:t>
      </w:r>
      <w:r w:rsidR="00DD574E">
        <w:rPr>
          <w:rFonts w:asciiTheme="minorHAnsi" w:hAnsiTheme="minorHAnsi" w:cstheme="minorHAnsi"/>
          <w:color w:val="292929"/>
          <w:sz w:val="22"/>
          <w:szCs w:val="22"/>
        </w:rPr>
        <w:t xml:space="preserve"> </w:t>
      </w:r>
      <w:r>
        <w:rPr>
          <w:rFonts w:asciiTheme="minorHAnsi" w:hAnsiTheme="minorHAnsi" w:cstheme="minorHAnsi"/>
          <w:color w:val="292929"/>
          <w:sz w:val="22"/>
          <w:szCs w:val="22"/>
        </w:rPr>
        <w:t>i</w:t>
      </w:r>
      <w:r w:rsidR="00DD574E">
        <w:rPr>
          <w:rFonts w:asciiTheme="minorHAnsi" w:hAnsiTheme="minorHAnsi" w:cstheme="minorHAnsi"/>
          <w:color w:val="292929"/>
          <w:sz w:val="22"/>
          <w:szCs w:val="22"/>
        </w:rPr>
        <w:t xml:space="preserve">t follows that there is a corresponding duty not to disclose seized things other than in accordance with a direction of the </w:t>
      </w:r>
      <w:r w:rsidR="003A6963">
        <w:rPr>
          <w:rFonts w:asciiTheme="minorHAnsi" w:hAnsiTheme="minorHAnsi" w:cstheme="minorHAnsi"/>
          <w:color w:val="292929"/>
          <w:sz w:val="22"/>
          <w:szCs w:val="22"/>
        </w:rPr>
        <w:t>M</w:t>
      </w:r>
      <w:r w:rsidR="00DD574E">
        <w:rPr>
          <w:rFonts w:asciiTheme="minorHAnsi" w:hAnsiTheme="minorHAnsi" w:cstheme="minorHAnsi"/>
          <w:color w:val="292929"/>
          <w:sz w:val="22"/>
          <w:szCs w:val="22"/>
        </w:rPr>
        <w:t>agistrates</w:t>
      </w:r>
      <w:r w:rsidR="00814FA6">
        <w:rPr>
          <w:rFonts w:asciiTheme="minorHAnsi" w:hAnsiTheme="minorHAnsi" w:cstheme="minorHAnsi"/>
          <w:color w:val="292929"/>
          <w:sz w:val="22"/>
          <w:szCs w:val="22"/>
        </w:rPr>
        <w:t>’</w:t>
      </w:r>
      <w:r w:rsidR="00DD574E">
        <w:rPr>
          <w:rFonts w:asciiTheme="minorHAnsi" w:hAnsiTheme="minorHAnsi" w:cstheme="minorHAnsi"/>
          <w:color w:val="292929"/>
          <w:sz w:val="22"/>
          <w:szCs w:val="22"/>
        </w:rPr>
        <w:t xml:space="preserve"> </w:t>
      </w:r>
      <w:r w:rsidR="003A6963">
        <w:rPr>
          <w:rFonts w:asciiTheme="minorHAnsi" w:hAnsiTheme="minorHAnsi" w:cstheme="minorHAnsi"/>
          <w:color w:val="292929"/>
          <w:sz w:val="22"/>
          <w:szCs w:val="22"/>
        </w:rPr>
        <w:t>C</w:t>
      </w:r>
      <w:r w:rsidR="00DD574E">
        <w:rPr>
          <w:rFonts w:asciiTheme="minorHAnsi" w:hAnsiTheme="minorHAnsi" w:cstheme="minorHAnsi"/>
          <w:color w:val="292929"/>
          <w:sz w:val="22"/>
          <w:szCs w:val="22"/>
        </w:rPr>
        <w:t xml:space="preserve">ourt. </w:t>
      </w:r>
    </w:p>
    <w:p w14:paraId="17F6F430" w14:textId="5B363502" w:rsidR="00DD574E" w:rsidRDefault="00DD574E" w:rsidP="00DD574E">
      <w:pPr>
        <w:shd w:val="clear" w:color="auto" w:fill="FFFFFF"/>
        <w:spacing w:before="120" w:after="240"/>
        <w:rPr>
          <w:color w:val="292929"/>
          <w:sz w:val="22"/>
          <w:szCs w:val="22"/>
        </w:rPr>
      </w:pPr>
      <w:r w:rsidRPr="00DD574E">
        <w:rPr>
          <w:color w:val="292929"/>
          <w:sz w:val="22"/>
          <w:szCs w:val="22"/>
        </w:rPr>
        <w:t xml:space="preserve">The </w:t>
      </w:r>
      <w:r w:rsidR="003A6963">
        <w:rPr>
          <w:color w:val="292929"/>
          <w:sz w:val="22"/>
          <w:szCs w:val="22"/>
        </w:rPr>
        <w:t>C</w:t>
      </w:r>
      <w:r w:rsidRPr="00DD574E">
        <w:rPr>
          <w:color w:val="292929"/>
          <w:sz w:val="22"/>
          <w:szCs w:val="22"/>
        </w:rPr>
        <w:t>ourt did not accept that evidence of observations made during the execution of a search warrant under s</w:t>
      </w:r>
      <w:r w:rsidR="00B31556">
        <w:rPr>
          <w:color w:val="292929"/>
          <w:sz w:val="22"/>
          <w:szCs w:val="22"/>
        </w:rPr>
        <w:t>ection</w:t>
      </w:r>
      <w:r w:rsidRPr="00DD574E">
        <w:rPr>
          <w:color w:val="292929"/>
          <w:sz w:val="22"/>
          <w:szCs w:val="22"/>
        </w:rPr>
        <w:t xml:space="preserve"> 465 of the Crimes Act, or information derived from things seized under the warrant, were subject to any limitation or duty of implied confidentiality.</w:t>
      </w:r>
      <w:r w:rsidR="003A6963">
        <w:rPr>
          <w:color w:val="292929"/>
          <w:sz w:val="22"/>
          <w:szCs w:val="22"/>
        </w:rPr>
        <w:t xml:space="preserve"> The Court held that </w:t>
      </w:r>
      <w:r w:rsidR="00B31556">
        <w:rPr>
          <w:color w:val="292929"/>
          <w:sz w:val="22"/>
          <w:szCs w:val="22"/>
        </w:rPr>
        <w:t xml:space="preserve">although the </w:t>
      </w:r>
      <w:r w:rsidR="00814FA6">
        <w:rPr>
          <w:color w:val="292929"/>
          <w:sz w:val="22"/>
          <w:szCs w:val="22"/>
        </w:rPr>
        <w:t>D</w:t>
      </w:r>
      <w:r w:rsidR="00B31556">
        <w:rPr>
          <w:color w:val="292929"/>
          <w:sz w:val="22"/>
          <w:szCs w:val="22"/>
        </w:rPr>
        <w:t>efendant is</w:t>
      </w:r>
      <w:r w:rsidRPr="00DD574E">
        <w:rPr>
          <w:color w:val="292929"/>
          <w:sz w:val="22"/>
          <w:szCs w:val="22"/>
        </w:rPr>
        <w:t xml:space="preserve"> </w:t>
      </w:r>
      <w:r w:rsidR="003A6963" w:rsidRPr="00DD574E">
        <w:rPr>
          <w:color w:val="292929"/>
          <w:sz w:val="22"/>
          <w:szCs w:val="22"/>
        </w:rPr>
        <w:t>not free to disclose the information to the world at large</w:t>
      </w:r>
      <w:r w:rsidR="003A6963">
        <w:rPr>
          <w:color w:val="292929"/>
          <w:sz w:val="22"/>
          <w:szCs w:val="22"/>
        </w:rPr>
        <w:t xml:space="preserve">, </w:t>
      </w:r>
      <w:r w:rsidR="00C81C11">
        <w:rPr>
          <w:color w:val="292929"/>
          <w:sz w:val="22"/>
          <w:szCs w:val="22"/>
        </w:rPr>
        <w:t xml:space="preserve">it </w:t>
      </w:r>
      <w:r w:rsidRPr="00DD574E">
        <w:rPr>
          <w:color w:val="292929"/>
          <w:sz w:val="22"/>
          <w:szCs w:val="22"/>
        </w:rPr>
        <w:t>could use and disclose</w:t>
      </w:r>
      <w:r w:rsidR="003A6963">
        <w:rPr>
          <w:color w:val="292929"/>
          <w:sz w:val="22"/>
          <w:szCs w:val="22"/>
        </w:rPr>
        <w:t xml:space="preserve"> this</w:t>
      </w:r>
      <w:r w:rsidRPr="00DD574E">
        <w:rPr>
          <w:color w:val="292929"/>
          <w:sz w:val="22"/>
          <w:szCs w:val="22"/>
        </w:rPr>
        <w:t xml:space="preserve"> information for </w:t>
      </w:r>
      <w:r w:rsidR="003A6963">
        <w:rPr>
          <w:color w:val="292929"/>
          <w:sz w:val="22"/>
          <w:szCs w:val="22"/>
        </w:rPr>
        <w:t xml:space="preserve">the </w:t>
      </w:r>
      <w:r w:rsidRPr="00DD574E">
        <w:rPr>
          <w:color w:val="292929"/>
          <w:sz w:val="22"/>
          <w:szCs w:val="22"/>
        </w:rPr>
        <w:t xml:space="preserve">limited </w:t>
      </w:r>
      <w:r w:rsidR="003A6963" w:rsidRPr="00DD574E">
        <w:rPr>
          <w:color w:val="292929"/>
          <w:sz w:val="22"/>
          <w:szCs w:val="22"/>
        </w:rPr>
        <w:t>purposes</w:t>
      </w:r>
      <w:r w:rsidRPr="00DD574E">
        <w:rPr>
          <w:color w:val="292929"/>
          <w:sz w:val="22"/>
          <w:szCs w:val="22"/>
        </w:rPr>
        <w:t xml:space="preserve"> defined by common law and legislation</w:t>
      </w:r>
      <w:r w:rsidR="003A6963">
        <w:rPr>
          <w:color w:val="292929"/>
          <w:sz w:val="22"/>
          <w:szCs w:val="22"/>
        </w:rPr>
        <w:t>.</w:t>
      </w:r>
    </w:p>
    <w:p w14:paraId="053BB3EF" w14:textId="6FD76800" w:rsidR="00EE44F0" w:rsidRDefault="00DD574E" w:rsidP="00846EED">
      <w:pPr>
        <w:pStyle w:val="Heading5"/>
        <w:shd w:val="clear" w:color="auto" w:fill="FFFFFF"/>
        <w:spacing w:before="120" w:beforeAutospacing="0" w:after="240" w:afterAutospacing="0"/>
        <w:rPr>
          <w:rStyle w:val="Strong"/>
          <w:rFonts w:asciiTheme="minorHAnsi" w:hAnsiTheme="minorHAnsi" w:cstheme="minorHAnsi"/>
          <w:b/>
          <w:bCs/>
          <w:color w:val="430098"/>
          <w:sz w:val="24"/>
          <w:szCs w:val="24"/>
        </w:rPr>
      </w:pPr>
      <w:r>
        <w:rPr>
          <w:rStyle w:val="Strong"/>
          <w:rFonts w:asciiTheme="minorHAnsi" w:hAnsiTheme="minorHAnsi" w:cstheme="minorHAnsi"/>
          <w:b/>
          <w:bCs/>
          <w:color w:val="430098"/>
          <w:sz w:val="24"/>
          <w:szCs w:val="24"/>
        </w:rPr>
        <w:t xml:space="preserve">IPP 2 and </w:t>
      </w:r>
      <w:r w:rsidR="00C92519">
        <w:rPr>
          <w:rStyle w:val="Strong"/>
          <w:rFonts w:asciiTheme="minorHAnsi" w:hAnsiTheme="minorHAnsi" w:cstheme="minorHAnsi"/>
          <w:b/>
          <w:bCs/>
          <w:color w:val="430098"/>
          <w:sz w:val="24"/>
          <w:szCs w:val="24"/>
        </w:rPr>
        <w:t>d</w:t>
      </w:r>
      <w:r w:rsidR="00C648D2" w:rsidRPr="00846EED">
        <w:rPr>
          <w:rStyle w:val="Strong"/>
          <w:rFonts w:asciiTheme="minorHAnsi" w:hAnsiTheme="minorHAnsi" w:cstheme="minorHAnsi"/>
          <w:b/>
          <w:bCs/>
          <w:color w:val="430098"/>
          <w:sz w:val="24"/>
          <w:szCs w:val="24"/>
        </w:rPr>
        <w:t xml:space="preserve">isclosure of information derived from </w:t>
      </w:r>
      <w:r w:rsidR="00846EED">
        <w:rPr>
          <w:rStyle w:val="Strong"/>
          <w:rFonts w:asciiTheme="minorHAnsi" w:hAnsiTheme="minorHAnsi" w:cstheme="minorHAnsi"/>
          <w:b/>
          <w:bCs/>
          <w:color w:val="430098"/>
          <w:sz w:val="24"/>
          <w:szCs w:val="24"/>
        </w:rPr>
        <w:t xml:space="preserve">material </w:t>
      </w:r>
      <w:r w:rsidR="00C648D2" w:rsidRPr="00846EED">
        <w:rPr>
          <w:rStyle w:val="Strong"/>
          <w:rFonts w:asciiTheme="minorHAnsi" w:hAnsiTheme="minorHAnsi" w:cstheme="minorHAnsi"/>
          <w:b/>
          <w:bCs/>
          <w:color w:val="430098"/>
          <w:sz w:val="24"/>
          <w:szCs w:val="24"/>
        </w:rPr>
        <w:t xml:space="preserve">seized </w:t>
      </w:r>
      <w:r w:rsidR="00846EED">
        <w:rPr>
          <w:rStyle w:val="Strong"/>
          <w:rFonts w:asciiTheme="minorHAnsi" w:hAnsiTheme="minorHAnsi" w:cstheme="minorHAnsi"/>
          <w:b/>
          <w:bCs/>
          <w:color w:val="430098"/>
          <w:sz w:val="24"/>
          <w:szCs w:val="24"/>
        </w:rPr>
        <w:t>under warrant</w:t>
      </w:r>
    </w:p>
    <w:p w14:paraId="1487A7F7" w14:textId="4AEA13EE" w:rsidR="00DD574E" w:rsidRDefault="00814FA6" w:rsidP="00DD574E">
      <w:pPr>
        <w:shd w:val="clear" w:color="auto" w:fill="FFFFFF"/>
        <w:spacing w:before="120" w:after="240"/>
        <w:rPr>
          <w:color w:val="292929"/>
          <w:sz w:val="22"/>
          <w:szCs w:val="22"/>
        </w:rPr>
      </w:pPr>
      <w:r>
        <w:rPr>
          <w:color w:val="292929"/>
          <w:sz w:val="22"/>
          <w:szCs w:val="22"/>
        </w:rPr>
        <w:t xml:space="preserve">The </w:t>
      </w:r>
      <w:r w:rsidR="002F4007">
        <w:rPr>
          <w:color w:val="292929"/>
          <w:sz w:val="22"/>
          <w:szCs w:val="22"/>
        </w:rPr>
        <w:t xml:space="preserve">Court </w:t>
      </w:r>
      <w:r>
        <w:rPr>
          <w:color w:val="292929"/>
          <w:sz w:val="22"/>
          <w:szCs w:val="22"/>
        </w:rPr>
        <w:t>considered</w:t>
      </w:r>
      <w:r w:rsidR="002F4007">
        <w:rPr>
          <w:color w:val="292929"/>
          <w:sz w:val="22"/>
          <w:szCs w:val="22"/>
        </w:rPr>
        <w:t xml:space="preserve"> section</w:t>
      </w:r>
      <w:r w:rsidR="00365A14">
        <w:rPr>
          <w:color w:val="292929"/>
          <w:sz w:val="22"/>
          <w:szCs w:val="22"/>
        </w:rPr>
        <w:t xml:space="preserve"> 465 </w:t>
      </w:r>
      <w:r w:rsidR="003A6963">
        <w:rPr>
          <w:color w:val="292929"/>
          <w:sz w:val="22"/>
          <w:szCs w:val="22"/>
        </w:rPr>
        <w:t>C</w:t>
      </w:r>
      <w:r w:rsidR="00365A14">
        <w:rPr>
          <w:color w:val="292929"/>
          <w:sz w:val="22"/>
          <w:szCs w:val="22"/>
        </w:rPr>
        <w:t xml:space="preserve">rimes </w:t>
      </w:r>
      <w:r w:rsidR="003A6963">
        <w:rPr>
          <w:color w:val="292929"/>
          <w:sz w:val="22"/>
          <w:szCs w:val="22"/>
        </w:rPr>
        <w:t>A</w:t>
      </w:r>
      <w:r w:rsidR="00365A14">
        <w:rPr>
          <w:color w:val="292929"/>
          <w:sz w:val="22"/>
          <w:szCs w:val="22"/>
        </w:rPr>
        <w:t xml:space="preserve">ct deals with how seized things under a search warrant are to be handled </w:t>
      </w:r>
      <w:r w:rsidR="003A6963">
        <w:rPr>
          <w:color w:val="292929"/>
          <w:sz w:val="22"/>
          <w:szCs w:val="22"/>
        </w:rPr>
        <w:t>while</w:t>
      </w:r>
      <w:r w:rsidR="00365A14">
        <w:rPr>
          <w:color w:val="292929"/>
          <w:sz w:val="22"/>
          <w:szCs w:val="22"/>
        </w:rPr>
        <w:t xml:space="preserve"> the PDP Act is concerned with the much broader notion of personal information. </w:t>
      </w:r>
      <w:r w:rsidR="003A6963">
        <w:rPr>
          <w:color w:val="292929"/>
          <w:sz w:val="22"/>
          <w:szCs w:val="22"/>
        </w:rPr>
        <w:t xml:space="preserve">As a result, </w:t>
      </w:r>
      <w:r w:rsidR="00C81C11">
        <w:rPr>
          <w:color w:val="292929"/>
          <w:sz w:val="22"/>
          <w:szCs w:val="22"/>
        </w:rPr>
        <w:t xml:space="preserve">it held </w:t>
      </w:r>
      <w:r w:rsidR="00365A14">
        <w:rPr>
          <w:color w:val="292929"/>
          <w:sz w:val="22"/>
          <w:szCs w:val="22"/>
        </w:rPr>
        <w:t>s</w:t>
      </w:r>
      <w:r w:rsidR="002F4007">
        <w:rPr>
          <w:color w:val="292929"/>
          <w:sz w:val="22"/>
          <w:szCs w:val="22"/>
        </w:rPr>
        <w:t>ection</w:t>
      </w:r>
      <w:r w:rsidR="00365A14">
        <w:rPr>
          <w:color w:val="292929"/>
          <w:sz w:val="22"/>
          <w:szCs w:val="22"/>
        </w:rPr>
        <w:t xml:space="preserve"> 465 of the </w:t>
      </w:r>
      <w:r w:rsidR="003A6963">
        <w:rPr>
          <w:color w:val="292929"/>
          <w:sz w:val="22"/>
          <w:szCs w:val="22"/>
        </w:rPr>
        <w:t>C</w:t>
      </w:r>
      <w:r w:rsidR="00365A14">
        <w:rPr>
          <w:color w:val="292929"/>
          <w:sz w:val="22"/>
          <w:szCs w:val="22"/>
        </w:rPr>
        <w:t xml:space="preserve">rimes </w:t>
      </w:r>
      <w:r w:rsidR="003A6963">
        <w:rPr>
          <w:color w:val="292929"/>
          <w:sz w:val="22"/>
          <w:szCs w:val="22"/>
        </w:rPr>
        <w:t>A</w:t>
      </w:r>
      <w:r w:rsidR="00365A14">
        <w:rPr>
          <w:color w:val="292929"/>
          <w:sz w:val="22"/>
          <w:szCs w:val="22"/>
        </w:rPr>
        <w:t xml:space="preserve">ct does not limit the use and disclosure of information about or derived from things seized under warrant. </w:t>
      </w:r>
    </w:p>
    <w:p w14:paraId="44AF1506" w14:textId="0486F83D" w:rsidR="00365A14" w:rsidRPr="00D53F55" w:rsidRDefault="003A6963" w:rsidP="00DD574E">
      <w:pPr>
        <w:shd w:val="clear" w:color="auto" w:fill="FFFFFF"/>
        <w:spacing w:before="120" w:after="240"/>
        <w:rPr>
          <w:color w:val="292929"/>
          <w:sz w:val="22"/>
          <w:szCs w:val="22"/>
        </w:rPr>
      </w:pPr>
      <w:r w:rsidRPr="00D53F55">
        <w:rPr>
          <w:color w:val="292929"/>
          <w:sz w:val="22"/>
          <w:szCs w:val="22"/>
        </w:rPr>
        <w:t xml:space="preserve">The Court </w:t>
      </w:r>
      <w:r w:rsidR="002F4007">
        <w:rPr>
          <w:color w:val="292929"/>
          <w:sz w:val="22"/>
          <w:szCs w:val="22"/>
        </w:rPr>
        <w:t xml:space="preserve">also </w:t>
      </w:r>
      <w:r w:rsidR="00C773CF" w:rsidRPr="00D53F55">
        <w:rPr>
          <w:color w:val="292929"/>
          <w:sz w:val="22"/>
          <w:szCs w:val="22"/>
        </w:rPr>
        <w:t>considered</w:t>
      </w:r>
      <w:r w:rsidR="00365A14" w:rsidRPr="00D53F55">
        <w:rPr>
          <w:color w:val="292929"/>
          <w:sz w:val="22"/>
          <w:szCs w:val="22"/>
        </w:rPr>
        <w:t xml:space="preserve"> the meaning </w:t>
      </w:r>
      <w:r w:rsidR="00F23802">
        <w:rPr>
          <w:color w:val="292929"/>
          <w:sz w:val="22"/>
          <w:szCs w:val="22"/>
        </w:rPr>
        <w:t xml:space="preserve">and scope of IPP 2.1(e). It held that </w:t>
      </w:r>
      <w:r w:rsidR="00C773CF" w:rsidRPr="00D53F55">
        <w:rPr>
          <w:color w:val="292929"/>
          <w:sz w:val="22"/>
          <w:szCs w:val="22"/>
        </w:rPr>
        <w:t>‘</w:t>
      </w:r>
      <w:r w:rsidR="00365A14" w:rsidRPr="00D53F55">
        <w:rPr>
          <w:color w:val="292929"/>
          <w:sz w:val="22"/>
          <w:szCs w:val="22"/>
        </w:rPr>
        <w:t>unlawful activity’ is not limited to criminal activity</w:t>
      </w:r>
      <w:r w:rsidR="00F23802">
        <w:rPr>
          <w:color w:val="292929"/>
          <w:sz w:val="22"/>
          <w:szCs w:val="22"/>
        </w:rPr>
        <w:t xml:space="preserve"> and i</w:t>
      </w:r>
      <w:r w:rsidRPr="00D53F55">
        <w:rPr>
          <w:color w:val="292929"/>
          <w:sz w:val="22"/>
          <w:szCs w:val="22"/>
        </w:rPr>
        <w:t xml:space="preserve">nstead </w:t>
      </w:r>
      <w:r w:rsidRPr="00D53F55">
        <w:rPr>
          <w:rFonts w:asciiTheme="minorHAnsi" w:hAnsiTheme="minorHAnsi" w:cstheme="minorHAnsi"/>
          <w:color w:val="292929"/>
          <w:sz w:val="22"/>
          <w:szCs w:val="22"/>
        </w:rPr>
        <w:t>encompasses any activity contrary to rules and laws whether criminal or civil</w:t>
      </w:r>
      <w:r w:rsidR="00F23802">
        <w:rPr>
          <w:rFonts w:asciiTheme="minorHAnsi" w:hAnsiTheme="minorHAnsi" w:cstheme="minorHAnsi"/>
          <w:color w:val="292929"/>
          <w:sz w:val="22"/>
          <w:szCs w:val="22"/>
        </w:rPr>
        <w:t xml:space="preserve">, and </w:t>
      </w:r>
      <w:r w:rsidR="00365A14" w:rsidRPr="00D53F55">
        <w:rPr>
          <w:color w:val="292929"/>
          <w:sz w:val="22"/>
          <w:szCs w:val="22"/>
        </w:rPr>
        <w:t>that any organisation to which the PDP Act applies may</w:t>
      </w:r>
      <w:r w:rsidR="00C773CF" w:rsidRPr="00D53F55">
        <w:rPr>
          <w:color w:val="292929"/>
          <w:sz w:val="22"/>
          <w:szCs w:val="22"/>
        </w:rPr>
        <w:t xml:space="preserve"> </w:t>
      </w:r>
      <w:r w:rsidR="00365A14" w:rsidRPr="00D53F55">
        <w:rPr>
          <w:color w:val="292929"/>
          <w:sz w:val="22"/>
          <w:szCs w:val="22"/>
        </w:rPr>
        <w:t xml:space="preserve">investigate the suspected unlawful activity </w:t>
      </w:r>
      <w:r w:rsidR="003E1496" w:rsidRPr="00D53F55">
        <w:rPr>
          <w:color w:val="292929"/>
          <w:sz w:val="22"/>
          <w:szCs w:val="22"/>
        </w:rPr>
        <w:t>itself or</w:t>
      </w:r>
      <w:r w:rsidR="00365A14" w:rsidRPr="00D53F55">
        <w:rPr>
          <w:color w:val="292929"/>
          <w:sz w:val="22"/>
          <w:szCs w:val="22"/>
        </w:rPr>
        <w:t xml:space="preserve"> refer its concerns to a relevant </w:t>
      </w:r>
      <w:r w:rsidR="00D53F55" w:rsidRPr="00D53F55">
        <w:rPr>
          <w:color w:val="292929"/>
          <w:sz w:val="22"/>
          <w:szCs w:val="22"/>
        </w:rPr>
        <w:t>person</w:t>
      </w:r>
      <w:r w:rsidR="00365A14" w:rsidRPr="00D53F55">
        <w:rPr>
          <w:color w:val="292929"/>
          <w:sz w:val="22"/>
          <w:szCs w:val="22"/>
        </w:rPr>
        <w:t xml:space="preserve"> or </w:t>
      </w:r>
      <w:r w:rsidR="00D53F55" w:rsidRPr="00D53F55">
        <w:rPr>
          <w:color w:val="292929"/>
          <w:sz w:val="22"/>
          <w:szCs w:val="22"/>
        </w:rPr>
        <w:t>authority</w:t>
      </w:r>
      <w:r w:rsidR="00F23802">
        <w:rPr>
          <w:color w:val="292929"/>
          <w:sz w:val="22"/>
          <w:szCs w:val="22"/>
        </w:rPr>
        <w:t>.</w:t>
      </w:r>
    </w:p>
    <w:p w14:paraId="56C3B49F" w14:textId="7DDB3DBF" w:rsidR="00365A14" w:rsidRPr="00761958" w:rsidRDefault="002146C8" w:rsidP="00DD574E">
      <w:pPr>
        <w:shd w:val="clear" w:color="auto" w:fill="FFFFFF"/>
        <w:spacing w:before="120" w:after="240"/>
        <w:rPr>
          <w:color w:val="292929"/>
          <w:sz w:val="22"/>
          <w:szCs w:val="22"/>
        </w:rPr>
      </w:pPr>
      <w:r w:rsidRPr="00761958">
        <w:rPr>
          <w:color w:val="292929"/>
          <w:sz w:val="22"/>
          <w:szCs w:val="22"/>
        </w:rPr>
        <w:t>The Co</w:t>
      </w:r>
      <w:r w:rsidR="0086707A" w:rsidRPr="00761958">
        <w:rPr>
          <w:color w:val="292929"/>
          <w:sz w:val="22"/>
          <w:szCs w:val="22"/>
        </w:rPr>
        <w:t>urt h</w:t>
      </w:r>
      <w:r w:rsidR="00365A14" w:rsidRPr="00761958">
        <w:rPr>
          <w:color w:val="292929"/>
          <w:sz w:val="22"/>
          <w:szCs w:val="22"/>
        </w:rPr>
        <w:t>ighlighted</w:t>
      </w:r>
      <w:r w:rsidR="003E1496">
        <w:rPr>
          <w:color w:val="292929"/>
          <w:sz w:val="22"/>
          <w:szCs w:val="22"/>
        </w:rPr>
        <w:t xml:space="preserve"> that</w:t>
      </w:r>
      <w:r w:rsidR="00365A14" w:rsidRPr="00761958">
        <w:rPr>
          <w:color w:val="292929"/>
          <w:sz w:val="22"/>
          <w:szCs w:val="22"/>
        </w:rPr>
        <w:t xml:space="preserve"> </w:t>
      </w:r>
      <w:r w:rsidR="00761958" w:rsidRPr="00761958">
        <w:rPr>
          <w:color w:val="292929"/>
          <w:sz w:val="22"/>
          <w:szCs w:val="22"/>
        </w:rPr>
        <w:t>b</w:t>
      </w:r>
      <w:r w:rsidR="00365A14" w:rsidRPr="00761958">
        <w:rPr>
          <w:color w:val="292929"/>
          <w:sz w:val="22"/>
          <w:szCs w:val="22"/>
        </w:rPr>
        <w:t>y enacting the PDP Act, Parliament has provided that the right to privacy may be limited by law in a way that is proportionate to a legitimate aim</w:t>
      </w:r>
      <w:r w:rsidR="00761958">
        <w:rPr>
          <w:color w:val="292929"/>
          <w:sz w:val="22"/>
          <w:szCs w:val="22"/>
        </w:rPr>
        <w:t xml:space="preserve"> and,</w:t>
      </w:r>
      <w:r w:rsidR="00761958" w:rsidRPr="00761958">
        <w:rPr>
          <w:color w:val="292929"/>
          <w:sz w:val="22"/>
          <w:szCs w:val="22"/>
        </w:rPr>
        <w:t xml:space="preserve"> </w:t>
      </w:r>
      <w:r w:rsidR="00761958">
        <w:rPr>
          <w:color w:val="292929"/>
          <w:sz w:val="22"/>
          <w:szCs w:val="22"/>
        </w:rPr>
        <w:t>a</w:t>
      </w:r>
      <w:r w:rsidR="00761958" w:rsidRPr="00761958">
        <w:rPr>
          <w:color w:val="292929"/>
          <w:sz w:val="22"/>
          <w:szCs w:val="22"/>
        </w:rPr>
        <w:t>s a result, the right to privacy under the Charter of Human Rights and Responsibilities cannot be said to be ‘paramount’</w:t>
      </w:r>
      <w:r w:rsidR="00761958">
        <w:rPr>
          <w:color w:val="292929"/>
          <w:sz w:val="22"/>
          <w:szCs w:val="22"/>
        </w:rPr>
        <w:t>.</w:t>
      </w:r>
      <w:r w:rsidR="00F23802">
        <w:rPr>
          <w:color w:val="292929"/>
          <w:sz w:val="22"/>
          <w:szCs w:val="22"/>
        </w:rPr>
        <w:t xml:space="preserve"> H</w:t>
      </w:r>
      <w:r w:rsidRPr="00761958">
        <w:rPr>
          <w:color w:val="292929"/>
          <w:sz w:val="22"/>
          <w:szCs w:val="22"/>
        </w:rPr>
        <w:t xml:space="preserve">aving reason to suspect that criminal activity was </w:t>
      </w:r>
      <w:r w:rsidR="00761958" w:rsidRPr="00761958">
        <w:rPr>
          <w:color w:val="292929"/>
          <w:sz w:val="22"/>
          <w:szCs w:val="22"/>
        </w:rPr>
        <w:t xml:space="preserve">being </w:t>
      </w:r>
      <w:r w:rsidRPr="00761958">
        <w:rPr>
          <w:color w:val="292929"/>
          <w:sz w:val="22"/>
          <w:szCs w:val="22"/>
        </w:rPr>
        <w:t xml:space="preserve">engaged in, IPP 2.1(e) authorised </w:t>
      </w:r>
      <w:r w:rsidR="00761958" w:rsidRPr="00761958">
        <w:rPr>
          <w:color w:val="292929"/>
          <w:sz w:val="22"/>
          <w:szCs w:val="22"/>
        </w:rPr>
        <w:t xml:space="preserve">the </w:t>
      </w:r>
      <w:r w:rsidR="00814FA6">
        <w:rPr>
          <w:color w:val="292929"/>
          <w:sz w:val="22"/>
          <w:szCs w:val="22"/>
        </w:rPr>
        <w:t>D</w:t>
      </w:r>
      <w:r w:rsidR="00761958" w:rsidRPr="00761958">
        <w:rPr>
          <w:color w:val="292929"/>
          <w:sz w:val="22"/>
          <w:szCs w:val="22"/>
        </w:rPr>
        <w:t xml:space="preserve">efendant </w:t>
      </w:r>
      <w:r w:rsidRPr="00761958">
        <w:rPr>
          <w:color w:val="292929"/>
          <w:sz w:val="22"/>
          <w:szCs w:val="22"/>
        </w:rPr>
        <w:t xml:space="preserve">to disclose personal information about </w:t>
      </w:r>
      <w:r w:rsidR="00761958" w:rsidRPr="00761958">
        <w:rPr>
          <w:color w:val="292929"/>
          <w:sz w:val="22"/>
          <w:szCs w:val="22"/>
        </w:rPr>
        <w:t xml:space="preserve">the </w:t>
      </w:r>
      <w:r w:rsidR="00814FA6">
        <w:rPr>
          <w:color w:val="292929"/>
          <w:sz w:val="22"/>
          <w:szCs w:val="22"/>
        </w:rPr>
        <w:t>P</w:t>
      </w:r>
      <w:r w:rsidR="00761958" w:rsidRPr="00761958">
        <w:rPr>
          <w:color w:val="292929"/>
          <w:sz w:val="22"/>
          <w:szCs w:val="22"/>
        </w:rPr>
        <w:t>laintiff</w:t>
      </w:r>
      <w:r w:rsidRPr="00761958">
        <w:rPr>
          <w:color w:val="292929"/>
          <w:sz w:val="22"/>
          <w:szCs w:val="22"/>
        </w:rPr>
        <w:t xml:space="preserve"> in reporting its concerns to the relevant persons or authorities and it was not necessary that the concerns reported correspond exactly with the crimes suspected.</w:t>
      </w:r>
    </w:p>
    <w:p w14:paraId="35C9FC61" w14:textId="65C0A8A0" w:rsidR="002146C8" w:rsidRPr="00365A14" w:rsidRDefault="002146C8" w:rsidP="00DD574E">
      <w:pPr>
        <w:shd w:val="clear" w:color="auto" w:fill="FFFFFF"/>
        <w:spacing w:before="120" w:after="240"/>
        <w:rPr>
          <w:color w:val="292929"/>
          <w:sz w:val="22"/>
          <w:szCs w:val="22"/>
        </w:rPr>
      </w:pPr>
      <w:proofErr w:type="gramStart"/>
      <w:r w:rsidRPr="00761958">
        <w:rPr>
          <w:color w:val="292929"/>
          <w:sz w:val="22"/>
          <w:szCs w:val="22"/>
        </w:rPr>
        <w:t>In light of</w:t>
      </w:r>
      <w:proofErr w:type="gramEnd"/>
      <w:r w:rsidRPr="00761958">
        <w:rPr>
          <w:color w:val="292929"/>
          <w:sz w:val="22"/>
          <w:szCs w:val="22"/>
        </w:rPr>
        <w:t xml:space="preserve"> the above considerations, </w:t>
      </w:r>
      <w:r w:rsidR="00814FA6">
        <w:rPr>
          <w:color w:val="292929"/>
          <w:sz w:val="22"/>
          <w:szCs w:val="22"/>
        </w:rPr>
        <w:t xml:space="preserve">the Court held </w:t>
      </w:r>
      <w:r w:rsidRPr="00761958">
        <w:rPr>
          <w:color w:val="292929"/>
          <w:sz w:val="22"/>
          <w:szCs w:val="22"/>
        </w:rPr>
        <w:t xml:space="preserve">disclosure was authorised under IPP 2.1(e) and </w:t>
      </w:r>
      <w:r w:rsidR="00814FA6">
        <w:rPr>
          <w:color w:val="292929"/>
          <w:sz w:val="22"/>
          <w:szCs w:val="22"/>
        </w:rPr>
        <w:t xml:space="preserve">so </w:t>
      </w:r>
      <w:r w:rsidRPr="00761958">
        <w:rPr>
          <w:color w:val="292929"/>
          <w:sz w:val="22"/>
          <w:szCs w:val="22"/>
        </w:rPr>
        <w:t>it was not necessary to consider whether the disclosure was also authorised by IPP 2.1 (f) or (g).</w:t>
      </w:r>
    </w:p>
    <w:p w14:paraId="4EB5AD03" w14:textId="5489F750" w:rsidR="00EE44F0" w:rsidRPr="00BA681B" w:rsidRDefault="00297175" w:rsidP="009F5DED">
      <w:pPr>
        <w:shd w:val="clear" w:color="auto" w:fill="FFFFFF"/>
        <w:spacing w:before="120" w:after="240"/>
        <w:rPr>
          <w:rFonts w:asciiTheme="minorHAnsi" w:hAnsiTheme="minorHAnsi" w:cstheme="minorHAnsi"/>
          <w:color w:val="292929"/>
          <w:sz w:val="22"/>
          <w:szCs w:val="22"/>
        </w:rPr>
      </w:pPr>
      <w:r>
        <w:rPr>
          <w:rFonts w:asciiTheme="minorHAnsi" w:hAnsiTheme="minorHAnsi" w:cstheme="minorHAnsi"/>
          <w:color w:val="292929"/>
          <w:sz w:val="22"/>
          <w:szCs w:val="22"/>
        </w:rPr>
        <w:t>The Court</w:t>
      </w:r>
      <w:r w:rsidRPr="00565434">
        <w:rPr>
          <w:rFonts w:asciiTheme="minorHAnsi" w:hAnsiTheme="minorHAnsi" w:cstheme="minorHAnsi"/>
          <w:color w:val="292929"/>
          <w:sz w:val="22"/>
          <w:szCs w:val="22"/>
        </w:rPr>
        <w:t xml:space="preserve"> </w:t>
      </w:r>
      <w:r w:rsidR="00B56F49" w:rsidRPr="00565434">
        <w:rPr>
          <w:rFonts w:asciiTheme="minorHAnsi" w:hAnsiTheme="minorHAnsi" w:cstheme="minorHAnsi"/>
          <w:color w:val="292929"/>
          <w:sz w:val="22"/>
          <w:szCs w:val="22"/>
        </w:rPr>
        <w:t>ordered that</w:t>
      </w:r>
      <w:r w:rsidR="00565434" w:rsidRPr="00565434">
        <w:rPr>
          <w:rFonts w:asciiTheme="minorHAnsi" w:hAnsiTheme="minorHAnsi" w:cstheme="minorHAnsi"/>
          <w:color w:val="292929"/>
          <w:sz w:val="22"/>
          <w:szCs w:val="22"/>
        </w:rPr>
        <w:t xml:space="preserve"> the proceeding be dismissed, and the confidentiality orders issued at the commencement of the trial be vacated.</w:t>
      </w:r>
      <w:r w:rsidR="00B56F49">
        <w:rPr>
          <w:rFonts w:asciiTheme="minorHAnsi" w:hAnsiTheme="minorHAnsi" w:cstheme="minorHAnsi"/>
          <w:color w:val="292929"/>
          <w:sz w:val="22"/>
          <w:szCs w:val="22"/>
        </w:rPr>
        <w:t xml:space="preserve"> </w:t>
      </w:r>
    </w:p>
    <w:bookmarkEnd w:id="0"/>
    <w:p w14:paraId="559968F5" w14:textId="77777777" w:rsidR="00BA7390" w:rsidRPr="00BA681B" w:rsidRDefault="00BA7390" w:rsidP="009F5DED">
      <w:pPr>
        <w:keepNext/>
        <w:keepLines/>
        <w:pBdr>
          <w:top w:val="single" w:sz="4" w:space="6" w:color="430098"/>
        </w:pBdr>
        <w:spacing w:before="120" w:after="240"/>
        <w:outlineLvl w:val="0"/>
        <w:rPr>
          <w:rFonts w:asciiTheme="minorHAnsi" w:hAnsiTheme="minorHAnsi" w:cstheme="minorHAnsi"/>
          <w:color w:val="430098"/>
          <w:szCs w:val="26"/>
          <w:lang w:val="en-AU"/>
        </w:rPr>
      </w:pPr>
      <w:r w:rsidRPr="00BA681B">
        <w:rPr>
          <w:rFonts w:asciiTheme="minorHAnsi" w:hAnsiTheme="minorHAnsi" w:cstheme="minorHAnsi"/>
          <w:color w:val="430098"/>
          <w:szCs w:val="26"/>
          <w:lang w:val="en-AU"/>
        </w:rPr>
        <w:t>Further Information</w:t>
      </w:r>
    </w:p>
    <w:p w14:paraId="795C66A0" w14:textId="77777777" w:rsidR="00BA7390" w:rsidRPr="00BA681B" w:rsidRDefault="00BA7390" w:rsidP="009F5DED">
      <w:pPr>
        <w:keepNext/>
        <w:keepLines/>
        <w:pBdr>
          <w:top w:val="single" w:sz="4" w:space="6" w:color="430098"/>
        </w:pBdr>
        <w:spacing w:before="120" w:after="240"/>
        <w:outlineLvl w:val="0"/>
        <w:rPr>
          <w:rFonts w:asciiTheme="minorHAnsi" w:hAnsiTheme="minorHAnsi" w:cstheme="minorHAnsi"/>
          <w:color w:val="430098"/>
          <w:szCs w:val="26"/>
          <w:lang w:val="en-AU"/>
        </w:rPr>
        <w:sectPr w:rsidR="00BA7390" w:rsidRPr="00BA681B" w:rsidSect="002456A2">
          <w:footerReference w:type="default" r:id="rId9"/>
          <w:headerReference w:type="first" r:id="rId10"/>
          <w:type w:val="continuous"/>
          <w:pgSz w:w="11900" w:h="16840"/>
          <w:pgMar w:top="896" w:right="1134" w:bottom="709" w:left="1134" w:header="510" w:footer="510" w:gutter="0"/>
          <w:cols w:space="720"/>
          <w:titlePg/>
          <w:docGrid w:linePitch="360"/>
        </w:sectPr>
      </w:pPr>
    </w:p>
    <w:p w14:paraId="439F5EB8" w14:textId="460E964C" w:rsidR="00795CCC" w:rsidRPr="00BA681B" w:rsidRDefault="00BA7390" w:rsidP="009F5DED">
      <w:pPr>
        <w:pStyle w:val="Disclaimer"/>
        <w:spacing w:before="120" w:after="240"/>
        <w:rPr>
          <w:rFonts w:asciiTheme="minorHAnsi" w:hAnsiTheme="minorHAnsi" w:cstheme="minorHAnsi"/>
          <w:sz w:val="16"/>
          <w:szCs w:val="16"/>
          <w:lang w:val="en-AU"/>
        </w:rPr>
      </w:pPr>
      <w:r w:rsidRPr="00BA681B">
        <w:rPr>
          <w:rFonts w:asciiTheme="minorHAnsi" w:hAnsiTheme="minorHAnsi" w:cstheme="minorHAnsi"/>
          <w:b/>
          <w:color w:val="430098"/>
          <w:sz w:val="16"/>
          <w:szCs w:val="16"/>
          <w:lang w:val="en-AU"/>
        </w:rPr>
        <w:t>t:</w:t>
      </w:r>
      <w:r w:rsidRPr="00BA681B">
        <w:rPr>
          <w:rFonts w:asciiTheme="minorHAnsi" w:hAnsiTheme="minorHAnsi" w:cstheme="minorHAnsi"/>
          <w:sz w:val="16"/>
          <w:szCs w:val="16"/>
          <w:lang w:val="en-AU"/>
        </w:rPr>
        <w:tab/>
        <w:t xml:space="preserve">1300 00 6842 </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e:</w:t>
      </w:r>
      <w:r w:rsidRPr="00BA681B">
        <w:rPr>
          <w:rFonts w:asciiTheme="minorHAnsi" w:hAnsiTheme="minorHAnsi" w:cstheme="minorHAnsi"/>
          <w:sz w:val="16"/>
          <w:szCs w:val="16"/>
          <w:lang w:val="en-AU"/>
        </w:rPr>
        <w:tab/>
        <w:t>enquiries@ovic.vic.gov.au</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w:</w:t>
      </w:r>
      <w:r w:rsidRPr="00BA681B">
        <w:rPr>
          <w:rFonts w:asciiTheme="minorHAnsi" w:hAnsiTheme="minorHAnsi" w:cstheme="minorHAnsi"/>
          <w:sz w:val="16"/>
          <w:szCs w:val="16"/>
          <w:lang w:val="en-AU"/>
        </w:rPr>
        <w:tab/>
        <w:t>ovic.vic.gov.au</w:t>
      </w:r>
      <w:r w:rsidRPr="00BA681B">
        <w:rPr>
          <w:rFonts w:asciiTheme="minorHAnsi" w:hAnsiTheme="minorHAnsi" w:cstheme="minorHAnsi"/>
          <w:b/>
          <w:sz w:val="16"/>
          <w:szCs w:val="16"/>
          <w:lang w:val="en-AU"/>
        </w:rPr>
        <w:t xml:space="preserve"> </w:t>
      </w:r>
      <w:r w:rsidRPr="00BA681B">
        <w:rPr>
          <w:rFonts w:asciiTheme="minorHAnsi" w:hAnsiTheme="minorHAnsi" w:cstheme="minorHAnsi"/>
          <w:b/>
          <w:sz w:val="16"/>
          <w:szCs w:val="16"/>
          <w:lang w:val="en-AU"/>
        </w:rPr>
        <w:br w:type="column"/>
      </w:r>
      <w:r w:rsidRPr="00BA681B">
        <w:rPr>
          <w:rFonts w:asciiTheme="minorHAnsi" w:hAnsiTheme="minorHAnsi" w:cstheme="minorHAnsi"/>
          <w:sz w:val="16"/>
          <w:szCs w:val="16"/>
          <w:lang w:val="en-AU"/>
        </w:rPr>
        <w:t>This case note is general in nature and does not constitute legal advice.</w:t>
      </w:r>
    </w:p>
    <w:sectPr w:rsidR="00795CCC" w:rsidRPr="00BA681B" w:rsidSect="00BA008A">
      <w:headerReference w:type="first" r:id="rId11"/>
      <w:footerReference w:type="first" r:id="rId12"/>
      <w:type w:val="continuous"/>
      <w:pgSz w:w="11900" w:h="16840"/>
      <w:pgMar w:top="1134" w:right="1134" w:bottom="1134" w:left="1134" w:header="1134" w:footer="113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03379" w14:textId="77777777" w:rsidR="00E26F8B" w:rsidRDefault="00E26F8B" w:rsidP="00190E33">
      <w:r>
        <w:separator/>
      </w:r>
    </w:p>
  </w:endnote>
  <w:endnote w:type="continuationSeparator" w:id="0">
    <w:p w14:paraId="090BB099" w14:textId="77777777" w:rsidR="00E26F8B" w:rsidRDefault="00E26F8B" w:rsidP="0019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994D" w14:textId="735D2B49" w:rsidR="00E26F8B" w:rsidRPr="003B6B6A" w:rsidRDefault="00E26F8B" w:rsidP="00BA008A">
    <w:pPr>
      <w:tabs>
        <w:tab w:val="center" w:pos="4513"/>
        <w:tab w:val="right" w:pos="9639"/>
      </w:tabs>
      <w:spacing w:before="120"/>
      <w:rPr>
        <w:color w:val="430098"/>
        <w:sz w:val="22"/>
      </w:rPr>
    </w:pPr>
    <w:r w:rsidRPr="00065C95">
      <w:rPr>
        <w:rFonts w:cs="Arial"/>
        <w:color w:val="430098"/>
        <w:sz w:val="20"/>
      </w:rPr>
      <w:t xml:space="preserve">Freedom of Information </w:t>
    </w:r>
    <w:r w:rsidRPr="00065C95">
      <w:rPr>
        <w:rFonts w:cs="Arial"/>
        <w:color w:val="E5007D"/>
        <w:sz w:val="20"/>
      </w:rPr>
      <w:t>|</w:t>
    </w:r>
    <w:r w:rsidRPr="00065C95">
      <w:rPr>
        <w:rFonts w:cs="Arial"/>
        <w:color w:val="430098"/>
        <w:sz w:val="20"/>
      </w:rPr>
      <w:t xml:space="preserve"> Privacy </w:t>
    </w:r>
    <w:r w:rsidRPr="00065C95">
      <w:rPr>
        <w:rFonts w:cs="Arial"/>
        <w:color w:val="E5007D"/>
        <w:sz w:val="20"/>
      </w:rPr>
      <w:t>|</w:t>
    </w:r>
    <w:r w:rsidRPr="00065C95">
      <w:rPr>
        <w:rFonts w:cs="Arial"/>
        <w:color w:val="430098"/>
        <w:sz w:val="20"/>
      </w:rPr>
      <w:t xml:space="preserve"> Data Protection</w:t>
    </w:r>
    <w:r>
      <w:rPr>
        <w:rFonts w:cs="Arial"/>
        <w:color w:val="430098"/>
        <w:sz w:val="20"/>
      </w:rPr>
      <w:tab/>
    </w:r>
    <w:r>
      <w:rPr>
        <w:rFonts w:cs="Arial"/>
        <w:color w:val="430098"/>
        <w:sz w:val="20"/>
      </w:rPr>
      <w:tab/>
    </w:r>
    <w:r w:rsidRPr="00065C95">
      <w:rPr>
        <w:rFonts w:cs="Arial"/>
        <w:color w:val="430098"/>
        <w:sz w:val="20"/>
      </w:rPr>
      <w:fldChar w:fldCharType="begin"/>
    </w:r>
    <w:r w:rsidRPr="00065C95">
      <w:rPr>
        <w:rFonts w:cs="Arial"/>
        <w:color w:val="430098"/>
        <w:sz w:val="20"/>
      </w:rPr>
      <w:instrText xml:space="preserve"> PAGE   \* MERGEFORMAT </w:instrText>
    </w:r>
    <w:r w:rsidRPr="00065C95">
      <w:rPr>
        <w:rFonts w:cs="Arial"/>
        <w:color w:val="430098"/>
        <w:sz w:val="20"/>
      </w:rPr>
      <w:fldChar w:fldCharType="separate"/>
    </w:r>
    <w:r w:rsidR="00956C57">
      <w:rPr>
        <w:rFonts w:cs="Arial"/>
        <w:noProof/>
        <w:color w:val="430098"/>
        <w:sz w:val="20"/>
      </w:rPr>
      <w:t>2</w:t>
    </w:r>
    <w:r w:rsidRPr="00065C95">
      <w:rPr>
        <w:rFonts w:cs="Arial"/>
        <w:color w:val="43009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9DDD" w14:textId="77777777" w:rsidR="00E26F8B" w:rsidRDefault="00E26F8B" w:rsidP="00BA008A">
    <w:pPr>
      <w:pStyle w:val="Footer"/>
    </w:pPr>
    <w:r w:rsidRPr="00B60B75">
      <w:t xml:space="preserve">Freedom of Information </w:t>
    </w:r>
    <w:r w:rsidRPr="0070388B">
      <w:rPr>
        <w:color w:val="E5007D"/>
      </w:rPr>
      <w:t>|</w:t>
    </w:r>
    <w:r w:rsidRPr="00B60B75">
      <w:t xml:space="preserve"> Privacy</w:t>
    </w:r>
    <w:r w:rsidRPr="0070388B">
      <w:rPr>
        <w:color w:val="E5007D"/>
      </w:rPr>
      <w:t xml:space="preserve"> | </w:t>
    </w:r>
    <w:r w:rsidRPr="008D16A7">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E78A7" w14:textId="77777777" w:rsidR="00E26F8B" w:rsidRDefault="00E26F8B" w:rsidP="00190E33">
      <w:r>
        <w:separator/>
      </w:r>
    </w:p>
  </w:footnote>
  <w:footnote w:type="continuationSeparator" w:id="0">
    <w:p w14:paraId="34C2D88E" w14:textId="77777777" w:rsidR="00E26F8B" w:rsidRDefault="00E26F8B" w:rsidP="0019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5899" w14:textId="3AF83D07" w:rsidR="00E26F8B" w:rsidRPr="00D70A8A" w:rsidRDefault="00E26F8B" w:rsidP="009B4FB5">
    <w:pPr>
      <w:pStyle w:val="Header"/>
      <w:tabs>
        <w:tab w:val="clear" w:pos="4513"/>
        <w:tab w:val="clear" w:pos="9026"/>
        <w:tab w:val="left" w:pos="6946"/>
      </w:tabs>
      <w:spacing w:after="180"/>
      <w:jc w:val="right"/>
      <w:rPr>
        <w:color w:val="7F7F7F"/>
        <w:sz w:val="26"/>
        <w:szCs w:val="26"/>
      </w:rPr>
    </w:pPr>
    <w:r>
      <w:rPr>
        <w:noProof/>
        <w:color w:val="7F7F7F"/>
        <w:sz w:val="28"/>
        <w:szCs w:val="28"/>
        <w:lang w:eastAsia="en-GB"/>
      </w:rPr>
      <w:drawing>
        <wp:anchor distT="0" distB="0" distL="114300" distR="114300" simplePos="0" relativeHeight="251660288" behindDoc="1" locked="0" layoutInCell="1" allowOverlap="1" wp14:anchorId="2D9C210B" wp14:editId="59AC66F4">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27" name="Picture 27"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A8A">
      <w:rPr>
        <w:color w:val="7F7F7F"/>
        <w:sz w:val="26"/>
        <w:szCs w:val="26"/>
      </w:rPr>
      <w:br/>
    </w:r>
    <w:r w:rsidRPr="00D70A8A">
      <w:rPr>
        <w:color w:val="7F7F7F"/>
        <w:sz w:val="26"/>
        <w:szCs w:val="26"/>
      </w:rPr>
      <w:tab/>
    </w:r>
    <w:r>
      <w:rPr>
        <w:color w:val="430098"/>
        <w:sz w:val="26"/>
        <w:szCs w:val="26"/>
      </w:rPr>
      <w:t>CASE NOTE</w:t>
    </w:r>
  </w:p>
  <w:p w14:paraId="15DFAA71" w14:textId="785CB7ED" w:rsidR="00E26F8B" w:rsidRDefault="00E26F8B" w:rsidP="005954DF">
    <w:pPr>
      <w:pStyle w:val="Header"/>
      <w:tabs>
        <w:tab w:val="clear" w:pos="4513"/>
        <w:tab w:val="left" w:pos="6946"/>
      </w:tabs>
      <w:spacing w:after="60"/>
      <w:jc w:val="right"/>
      <w:rPr>
        <w:color w:val="7F7F7F"/>
        <w:sz w:val="20"/>
        <w:szCs w:val="20"/>
      </w:rPr>
    </w:pPr>
    <w:r>
      <w:rPr>
        <w:noProof/>
        <w:color w:val="7F7F7F"/>
        <w:sz w:val="20"/>
        <w:szCs w:val="20"/>
        <w:lang w:eastAsia="en-GB"/>
      </w:rPr>
      <w:drawing>
        <wp:anchor distT="0" distB="0" distL="114300" distR="114300" simplePos="0" relativeHeight="251659264" behindDoc="0" locked="0" layoutInCell="1" allowOverlap="1" wp14:anchorId="45F6952D" wp14:editId="573A11B1">
          <wp:simplePos x="0" y="0"/>
          <wp:positionH relativeFrom="margin">
            <wp:align>left</wp:align>
          </wp:positionH>
          <wp:positionV relativeFrom="paragraph">
            <wp:posOffset>277661</wp:posOffset>
          </wp:positionV>
          <wp:extent cx="6119495" cy="70485"/>
          <wp:effectExtent l="0" t="0" r="0" b="5715"/>
          <wp:wrapThrough wrapText="bothSides">
            <wp:wrapPolygon edited="0">
              <wp:start x="0" y="0"/>
              <wp:lineTo x="0" y="17514"/>
              <wp:lineTo x="21517" y="17514"/>
              <wp:lineTo x="21517" y="0"/>
              <wp:lineTo x="0" y="0"/>
            </wp:wrapPolygon>
          </wp:wrapThrough>
          <wp:docPr id="28" name="Picture 2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09AF4541" w14:textId="78D9BAC1" w:rsidR="00E26F8B" w:rsidRPr="00956C57" w:rsidRDefault="00337416" w:rsidP="00337416">
    <w:pPr>
      <w:pStyle w:val="DocumentTitle"/>
      <w:spacing w:before="0"/>
      <w:rPr>
        <w:color w:val="555559"/>
        <w:sz w:val="30"/>
        <w:szCs w:val="30"/>
      </w:rPr>
    </w:pPr>
    <w:r w:rsidRPr="00C309AA">
      <w:rPr>
        <w:rFonts w:ascii="Calibri" w:hAnsi="Calibri"/>
        <w:bCs/>
        <w:i/>
        <w:iCs/>
        <w:sz w:val="36"/>
        <w:szCs w:val="36"/>
        <w:lang w:val="en"/>
      </w:rPr>
      <w:t>McLean v Racing Victoria Ltd</w:t>
    </w:r>
    <w:r w:rsidRPr="00337416">
      <w:rPr>
        <w:rFonts w:ascii="Calibri" w:hAnsi="Calibri"/>
        <w:bCs/>
        <w:sz w:val="36"/>
        <w:szCs w:val="36"/>
        <w:lang w:val="en"/>
      </w:rPr>
      <w:t xml:space="preserve"> [2019] VSC 690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687F" w14:textId="77777777" w:rsidR="00E26F8B" w:rsidRPr="0070388B" w:rsidRDefault="00E26F8B" w:rsidP="00BA008A">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58D"/>
    <w:multiLevelType w:val="hybridMultilevel"/>
    <w:tmpl w:val="BCA244A4"/>
    <w:lvl w:ilvl="0" w:tplc="A72CC39E">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835AB3"/>
    <w:multiLevelType w:val="hybridMultilevel"/>
    <w:tmpl w:val="B05684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D2717A"/>
    <w:multiLevelType w:val="hybridMultilevel"/>
    <w:tmpl w:val="493E5C1C"/>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ED37E3"/>
    <w:multiLevelType w:val="multilevel"/>
    <w:tmpl w:val="7FC4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F40D6"/>
    <w:multiLevelType w:val="hybridMultilevel"/>
    <w:tmpl w:val="20D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26C84"/>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F442A"/>
    <w:multiLevelType w:val="hybridMultilevel"/>
    <w:tmpl w:val="99829A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A425096"/>
    <w:multiLevelType w:val="hybridMultilevel"/>
    <w:tmpl w:val="A6D47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1B1E94"/>
    <w:multiLevelType w:val="hybridMultilevel"/>
    <w:tmpl w:val="AA3685B4"/>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55BEA"/>
    <w:multiLevelType w:val="hybridMultilevel"/>
    <w:tmpl w:val="DE1203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9166A"/>
    <w:multiLevelType w:val="hybridMultilevel"/>
    <w:tmpl w:val="DC9AA640"/>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16B2C"/>
    <w:multiLevelType w:val="hybridMultilevel"/>
    <w:tmpl w:val="6A0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000B2"/>
    <w:multiLevelType w:val="hybridMultilevel"/>
    <w:tmpl w:val="2F040CF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74523C5"/>
    <w:multiLevelType w:val="hybridMultilevel"/>
    <w:tmpl w:val="1A0206F8"/>
    <w:lvl w:ilvl="0" w:tplc="2FF2E1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058D0"/>
    <w:multiLevelType w:val="hybridMultilevel"/>
    <w:tmpl w:val="DC9AA640"/>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64576"/>
    <w:multiLevelType w:val="hybridMultilevel"/>
    <w:tmpl w:val="0B0E8BF8"/>
    <w:lvl w:ilvl="0" w:tplc="34609220">
      <w:start w:val="1"/>
      <w:numFmt w:val="bullet"/>
      <w:lvlText w:val=""/>
      <w:lvlJc w:val="left"/>
      <w:pPr>
        <w:ind w:left="76" w:hanging="360"/>
      </w:pPr>
      <w:rPr>
        <w:rFonts w:ascii="Symbol" w:hAnsi="Symbol" w:hint="default"/>
        <w:sz w:val="18"/>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6" w15:restartNumberingAfterBreak="0">
    <w:nsid w:val="4D2E30F6"/>
    <w:multiLevelType w:val="hybridMultilevel"/>
    <w:tmpl w:val="18304E9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FB7421"/>
    <w:multiLevelType w:val="hybridMultilevel"/>
    <w:tmpl w:val="B4CA4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5A468E"/>
    <w:multiLevelType w:val="hybridMultilevel"/>
    <w:tmpl w:val="E8EE7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C823A6"/>
    <w:multiLevelType w:val="hybridMultilevel"/>
    <w:tmpl w:val="1A0206F8"/>
    <w:lvl w:ilvl="0" w:tplc="2FF2E1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60B1D"/>
    <w:multiLevelType w:val="hybridMultilevel"/>
    <w:tmpl w:val="1AC2E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4F84BEF"/>
    <w:multiLevelType w:val="multilevel"/>
    <w:tmpl w:val="A94E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248FF"/>
    <w:multiLevelType w:val="hybridMultilevel"/>
    <w:tmpl w:val="4F9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82894"/>
    <w:multiLevelType w:val="hybridMultilevel"/>
    <w:tmpl w:val="9B1AB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A9293A"/>
    <w:multiLevelType w:val="hybridMultilevel"/>
    <w:tmpl w:val="13808EDA"/>
    <w:lvl w:ilvl="0" w:tplc="5FF83E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E6740"/>
    <w:multiLevelType w:val="hybridMultilevel"/>
    <w:tmpl w:val="D8F824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2208B9"/>
    <w:multiLevelType w:val="hybridMultilevel"/>
    <w:tmpl w:val="8528D7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2"/>
  </w:num>
  <w:num w:numId="4">
    <w:abstractNumId w:val="1"/>
  </w:num>
  <w:num w:numId="5">
    <w:abstractNumId w:val="17"/>
  </w:num>
  <w:num w:numId="6">
    <w:abstractNumId w:val="20"/>
  </w:num>
  <w:num w:numId="7">
    <w:abstractNumId w:val="18"/>
  </w:num>
  <w:num w:numId="8">
    <w:abstractNumId w:val="26"/>
  </w:num>
  <w:num w:numId="9">
    <w:abstractNumId w:val="11"/>
  </w:num>
  <w:num w:numId="10">
    <w:abstractNumId w:val="9"/>
  </w:num>
  <w:num w:numId="11">
    <w:abstractNumId w:val="13"/>
  </w:num>
  <w:num w:numId="12">
    <w:abstractNumId w:val="19"/>
  </w:num>
  <w:num w:numId="13">
    <w:abstractNumId w:val="4"/>
  </w:num>
  <w:num w:numId="14">
    <w:abstractNumId w:val="22"/>
  </w:num>
  <w:num w:numId="15">
    <w:abstractNumId w:val="23"/>
  </w:num>
  <w:num w:numId="16">
    <w:abstractNumId w:val="7"/>
  </w:num>
  <w:num w:numId="17">
    <w:abstractNumId w:val="6"/>
  </w:num>
  <w:num w:numId="18">
    <w:abstractNumId w:val="16"/>
  </w:num>
  <w:num w:numId="19">
    <w:abstractNumId w:val="24"/>
  </w:num>
  <w:num w:numId="20">
    <w:abstractNumId w:val="2"/>
  </w:num>
  <w:num w:numId="21">
    <w:abstractNumId w:val="8"/>
  </w:num>
  <w:num w:numId="22">
    <w:abstractNumId w:val="14"/>
  </w:num>
  <w:num w:numId="23">
    <w:abstractNumId w:val="10"/>
  </w:num>
  <w:num w:numId="24">
    <w:abstractNumId w:val="3"/>
  </w:num>
  <w:num w:numId="25">
    <w:abstractNumId w:val="5"/>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90"/>
    <w:rsid w:val="00000B4B"/>
    <w:rsid w:val="000072E4"/>
    <w:rsid w:val="000125B0"/>
    <w:rsid w:val="000130A0"/>
    <w:rsid w:val="00021D9E"/>
    <w:rsid w:val="00023034"/>
    <w:rsid w:val="00026145"/>
    <w:rsid w:val="00031C97"/>
    <w:rsid w:val="0003391E"/>
    <w:rsid w:val="0003541D"/>
    <w:rsid w:val="000367C3"/>
    <w:rsid w:val="00040801"/>
    <w:rsid w:val="00041076"/>
    <w:rsid w:val="00042D6F"/>
    <w:rsid w:val="000459CC"/>
    <w:rsid w:val="00051C03"/>
    <w:rsid w:val="000521AD"/>
    <w:rsid w:val="00052EAC"/>
    <w:rsid w:val="000649BD"/>
    <w:rsid w:val="000730E0"/>
    <w:rsid w:val="000732A6"/>
    <w:rsid w:val="00077A18"/>
    <w:rsid w:val="00084613"/>
    <w:rsid w:val="000858B8"/>
    <w:rsid w:val="00086730"/>
    <w:rsid w:val="0009032A"/>
    <w:rsid w:val="000904A2"/>
    <w:rsid w:val="00094AC4"/>
    <w:rsid w:val="000952CB"/>
    <w:rsid w:val="00097648"/>
    <w:rsid w:val="00097E01"/>
    <w:rsid w:val="000A0B4F"/>
    <w:rsid w:val="000A32D3"/>
    <w:rsid w:val="000A404E"/>
    <w:rsid w:val="000B716F"/>
    <w:rsid w:val="000C05EE"/>
    <w:rsid w:val="000C34FC"/>
    <w:rsid w:val="000F2103"/>
    <w:rsid w:val="001017A1"/>
    <w:rsid w:val="00107C68"/>
    <w:rsid w:val="001153CC"/>
    <w:rsid w:val="00131BEC"/>
    <w:rsid w:val="00132563"/>
    <w:rsid w:val="00132AF5"/>
    <w:rsid w:val="0013393D"/>
    <w:rsid w:val="0013766C"/>
    <w:rsid w:val="001401DB"/>
    <w:rsid w:val="00141ED1"/>
    <w:rsid w:val="00146A73"/>
    <w:rsid w:val="00150162"/>
    <w:rsid w:val="001558A4"/>
    <w:rsid w:val="00157B94"/>
    <w:rsid w:val="00162AC5"/>
    <w:rsid w:val="00165ACA"/>
    <w:rsid w:val="00167A14"/>
    <w:rsid w:val="001702C9"/>
    <w:rsid w:val="00177E18"/>
    <w:rsid w:val="0018095A"/>
    <w:rsid w:val="00180FCF"/>
    <w:rsid w:val="00190CEB"/>
    <w:rsid w:val="00190E33"/>
    <w:rsid w:val="00193319"/>
    <w:rsid w:val="001936AA"/>
    <w:rsid w:val="00194900"/>
    <w:rsid w:val="001953BE"/>
    <w:rsid w:val="00195AB2"/>
    <w:rsid w:val="001964C0"/>
    <w:rsid w:val="001A191D"/>
    <w:rsid w:val="001A6E2B"/>
    <w:rsid w:val="001B6155"/>
    <w:rsid w:val="001B6646"/>
    <w:rsid w:val="001C2BD6"/>
    <w:rsid w:val="001C635F"/>
    <w:rsid w:val="001D0C1F"/>
    <w:rsid w:val="001D112D"/>
    <w:rsid w:val="001D3811"/>
    <w:rsid w:val="001D6E62"/>
    <w:rsid w:val="001E000E"/>
    <w:rsid w:val="001E3CAD"/>
    <w:rsid w:val="001E6A95"/>
    <w:rsid w:val="001F02F8"/>
    <w:rsid w:val="001F0DC1"/>
    <w:rsid w:val="002007F8"/>
    <w:rsid w:val="00211C96"/>
    <w:rsid w:val="00213613"/>
    <w:rsid w:val="002146C8"/>
    <w:rsid w:val="00216F46"/>
    <w:rsid w:val="002201C4"/>
    <w:rsid w:val="00225748"/>
    <w:rsid w:val="0023072D"/>
    <w:rsid w:val="002370E9"/>
    <w:rsid w:val="002377A6"/>
    <w:rsid w:val="00241667"/>
    <w:rsid w:val="00242777"/>
    <w:rsid w:val="00242DAD"/>
    <w:rsid w:val="002456A2"/>
    <w:rsid w:val="00254D33"/>
    <w:rsid w:val="002575F7"/>
    <w:rsid w:val="00262D56"/>
    <w:rsid w:val="00266157"/>
    <w:rsid w:val="00272466"/>
    <w:rsid w:val="00274299"/>
    <w:rsid w:val="002760A9"/>
    <w:rsid w:val="00281C14"/>
    <w:rsid w:val="00283B00"/>
    <w:rsid w:val="002867AC"/>
    <w:rsid w:val="00290829"/>
    <w:rsid w:val="00294719"/>
    <w:rsid w:val="00296CAD"/>
    <w:rsid w:val="00297175"/>
    <w:rsid w:val="002A0650"/>
    <w:rsid w:val="002A4833"/>
    <w:rsid w:val="002A62EE"/>
    <w:rsid w:val="002B0525"/>
    <w:rsid w:val="002B49E3"/>
    <w:rsid w:val="002B627E"/>
    <w:rsid w:val="002B79B4"/>
    <w:rsid w:val="002C3EB0"/>
    <w:rsid w:val="002C51DA"/>
    <w:rsid w:val="002D1FDC"/>
    <w:rsid w:val="002E1835"/>
    <w:rsid w:val="002E3523"/>
    <w:rsid w:val="002E3644"/>
    <w:rsid w:val="002E4D0D"/>
    <w:rsid w:val="002E75FE"/>
    <w:rsid w:val="002E79AF"/>
    <w:rsid w:val="002F0D33"/>
    <w:rsid w:val="002F1A8D"/>
    <w:rsid w:val="002F2498"/>
    <w:rsid w:val="002F4007"/>
    <w:rsid w:val="002F4EC6"/>
    <w:rsid w:val="002F7AEC"/>
    <w:rsid w:val="0030296C"/>
    <w:rsid w:val="00306748"/>
    <w:rsid w:val="003248CC"/>
    <w:rsid w:val="0032699B"/>
    <w:rsid w:val="00326F1A"/>
    <w:rsid w:val="003353AA"/>
    <w:rsid w:val="0033667A"/>
    <w:rsid w:val="00337416"/>
    <w:rsid w:val="00344E15"/>
    <w:rsid w:val="00344F97"/>
    <w:rsid w:val="00347483"/>
    <w:rsid w:val="00352322"/>
    <w:rsid w:val="00355A09"/>
    <w:rsid w:val="00357470"/>
    <w:rsid w:val="00362F36"/>
    <w:rsid w:val="00364C63"/>
    <w:rsid w:val="00365A14"/>
    <w:rsid w:val="00371B4B"/>
    <w:rsid w:val="0037332A"/>
    <w:rsid w:val="003756C5"/>
    <w:rsid w:val="003800C9"/>
    <w:rsid w:val="00383B17"/>
    <w:rsid w:val="00385DD2"/>
    <w:rsid w:val="00397095"/>
    <w:rsid w:val="003A6963"/>
    <w:rsid w:val="003B4A2D"/>
    <w:rsid w:val="003B712B"/>
    <w:rsid w:val="003C588D"/>
    <w:rsid w:val="003D12F6"/>
    <w:rsid w:val="003D22A8"/>
    <w:rsid w:val="003D30C7"/>
    <w:rsid w:val="003D53D1"/>
    <w:rsid w:val="003D5C28"/>
    <w:rsid w:val="003E1496"/>
    <w:rsid w:val="003E43DD"/>
    <w:rsid w:val="003F1F0B"/>
    <w:rsid w:val="003F20F3"/>
    <w:rsid w:val="003F22F7"/>
    <w:rsid w:val="003F4C16"/>
    <w:rsid w:val="003F4DEC"/>
    <w:rsid w:val="003F5539"/>
    <w:rsid w:val="004010F0"/>
    <w:rsid w:val="004028AF"/>
    <w:rsid w:val="0040615A"/>
    <w:rsid w:val="00425D5B"/>
    <w:rsid w:val="00426DB1"/>
    <w:rsid w:val="004311E9"/>
    <w:rsid w:val="00434B0F"/>
    <w:rsid w:val="00434EC7"/>
    <w:rsid w:val="00436440"/>
    <w:rsid w:val="00440454"/>
    <w:rsid w:val="00440466"/>
    <w:rsid w:val="004412CA"/>
    <w:rsid w:val="004422B2"/>
    <w:rsid w:val="00445431"/>
    <w:rsid w:val="004512B9"/>
    <w:rsid w:val="00462F3C"/>
    <w:rsid w:val="00475C10"/>
    <w:rsid w:val="00480B0D"/>
    <w:rsid w:val="00483321"/>
    <w:rsid w:val="00490A66"/>
    <w:rsid w:val="004957C4"/>
    <w:rsid w:val="004A1D74"/>
    <w:rsid w:val="004A4AF3"/>
    <w:rsid w:val="004A505B"/>
    <w:rsid w:val="004A7394"/>
    <w:rsid w:val="004B152E"/>
    <w:rsid w:val="004B2A46"/>
    <w:rsid w:val="004B3D1C"/>
    <w:rsid w:val="004D46F0"/>
    <w:rsid w:val="004D4D49"/>
    <w:rsid w:val="004E2BBE"/>
    <w:rsid w:val="004F014A"/>
    <w:rsid w:val="004F1F77"/>
    <w:rsid w:val="004F3DC7"/>
    <w:rsid w:val="00502942"/>
    <w:rsid w:val="005035FE"/>
    <w:rsid w:val="00514901"/>
    <w:rsid w:val="00516342"/>
    <w:rsid w:val="00521745"/>
    <w:rsid w:val="00526DF9"/>
    <w:rsid w:val="00534FB8"/>
    <w:rsid w:val="00542E9E"/>
    <w:rsid w:val="00543908"/>
    <w:rsid w:val="00544A03"/>
    <w:rsid w:val="00547BF4"/>
    <w:rsid w:val="00564E87"/>
    <w:rsid w:val="00565434"/>
    <w:rsid w:val="005717E8"/>
    <w:rsid w:val="005733E6"/>
    <w:rsid w:val="005755EC"/>
    <w:rsid w:val="0058604A"/>
    <w:rsid w:val="00587101"/>
    <w:rsid w:val="00590985"/>
    <w:rsid w:val="00591476"/>
    <w:rsid w:val="005954DF"/>
    <w:rsid w:val="00597E4E"/>
    <w:rsid w:val="005A31E9"/>
    <w:rsid w:val="005A3CB9"/>
    <w:rsid w:val="005A3F8C"/>
    <w:rsid w:val="005A51A9"/>
    <w:rsid w:val="005B59C8"/>
    <w:rsid w:val="005C0112"/>
    <w:rsid w:val="005C3088"/>
    <w:rsid w:val="005C65AC"/>
    <w:rsid w:val="005C7B01"/>
    <w:rsid w:val="005D343A"/>
    <w:rsid w:val="005D5751"/>
    <w:rsid w:val="005E1C55"/>
    <w:rsid w:val="005F0419"/>
    <w:rsid w:val="005F4548"/>
    <w:rsid w:val="005F59B3"/>
    <w:rsid w:val="0060001B"/>
    <w:rsid w:val="00601E5A"/>
    <w:rsid w:val="00607478"/>
    <w:rsid w:val="00610369"/>
    <w:rsid w:val="00610FB5"/>
    <w:rsid w:val="00624DEE"/>
    <w:rsid w:val="00633285"/>
    <w:rsid w:val="00637343"/>
    <w:rsid w:val="0063763C"/>
    <w:rsid w:val="00640B5B"/>
    <w:rsid w:val="00646D61"/>
    <w:rsid w:val="006479F3"/>
    <w:rsid w:val="00650EC4"/>
    <w:rsid w:val="0065176B"/>
    <w:rsid w:val="00651F5C"/>
    <w:rsid w:val="006546F2"/>
    <w:rsid w:val="00655184"/>
    <w:rsid w:val="00664C22"/>
    <w:rsid w:val="00672265"/>
    <w:rsid w:val="006744B0"/>
    <w:rsid w:val="006765C1"/>
    <w:rsid w:val="00684802"/>
    <w:rsid w:val="0068499A"/>
    <w:rsid w:val="00687CD6"/>
    <w:rsid w:val="00690290"/>
    <w:rsid w:val="006927B4"/>
    <w:rsid w:val="00693ADB"/>
    <w:rsid w:val="00693E6E"/>
    <w:rsid w:val="00697AF4"/>
    <w:rsid w:val="006A2BFA"/>
    <w:rsid w:val="006A554D"/>
    <w:rsid w:val="006B095A"/>
    <w:rsid w:val="006B6A64"/>
    <w:rsid w:val="006B6C29"/>
    <w:rsid w:val="006C5646"/>
    <w:rsid w:val="006C5B84"/>
    <w:rsid w:val="006C5BFD"/>
    <w:rsid w:val="006C5ED9"/>
    <w:rsid w:val="006D0795"/>
    <w:rsid w:val="006E1A2E"/>
    <w:rsid w:val="006E2809"/>
    <w:rsid w:val="006F2AAB"/>
    <w:rsid w:val="006F7A5C"/>
    <w:rsid w:val="007019AC"/>
    <w:rsid w:val="007052BA"/>
    <w:rsid w:val="007129E9"/>
    <w:rsid w:val="00717C15"/>
    <w:rsid w:val="007222AD"/>
    <w:rsid w:val="007234E0"/>
    <w:rsid w:val="00724B37"/>
    <w:rsid w:val="00726840"/>
    <w:rsid w:val="007306D8"/>
    <w:rsid w:val="007360FD"/>
    <w:rsid w:val="0074182B"/>
    <w:rsid w:val="00743CCC"/>
    <w:rsid w:val="00745DD5"/>
    <w:rsid w:val="00745E69"/>
    <w:rsid w:val="00751FF5"/>
    <w:rsid w:val="00752D69"/>
    <w:rsid w:val="007560D2"/>
    <w:rsid w:val="00761212"/>
    <w:rsid w:val="007614F1"/>
    <w:rsid w:val="00761958"/>
    <w:rsid w:val="007640B6"/>
    <w:rsid w:val="00767B2F"/>
    <w:rsid w:val="00780001"/>
    <w:rsid w:val="007869C6"/>
    <w:rsid w:val="007948C0"/>
    <w:rsid w:val="00795CCC"/>
    <w:rsid w:val="00797D2D"/>
    <w:rsid w:val="007A3F3D"/>
    <w:rsid w:val="007A4E42"/>
    <w:rsid w:val="007A60B4"/>
    <w:rsid w:val="007B2E46"/>
    <w:rsid w:val="007B3286"/>
    <w:rsid w:val="007B37B7"/>
    <w:rsid w:val="007B39FE"/>
    <w:rsid w:val="007B3AC2"/>
    <w:rsid w:val="007B747A"/>
    <w:rsid w:val="007C027D"/>
    <w:rsid w:val="007C151E"/>
    <w:rsid w:val="007C3AE6"/>
    <w:rsid w:val="007C7E34"/>
    <w:rsid w:val="007D2A93"/>
    <w:rsid w:val="007E1EF3"/>
    <w:rsid w:val="007E49DC"/>
    <w:rsid w:val="007F0B7A"/>
    <w:rsid w:val="007F4393"/>
    <w:rsid w:val="007F4814"/>
    <w:rsid w:val="008002C3"/>
    <w:rsid w:val="008003D1"/>
    <w:rsid w:val="00800E3A"/>
    <w:rsid w:val="0080189E"/>
    <w:rsid w:val="00804CC3"/>
    <w:rsid w:val="00814810"/>
    <w:rsid w:val="00814FA6"/>
    <w:rsid w:val="00820647"/>
    <w:rsid w:val="008270A6"/>
    <w:rsid w:val="00831675"/>
    <w:rsid w:val="00836979"/>
    <w:rsid w:val="00840673"/>
    <w:rsid w:val="00846EED"/>
    <w:rsid w:val="008553B8"/>
    <w:rsid w:val="00855A92"/>
    <w:rsid w:val="00860AEC"/>
    <w:rsid w:val="008629FC"/>
    <w:rsid w:val="0086707A"/>
    <w:rsid w:val="00870A18"/>
    <w:rsid w:val="0087257F"/>
    <w:rsid w:val="008804BE"/>
    <w:rsid w:val="008809FF"/>
    <w:rsid w:val="00880DDA"/>
    <w:rsid w:val="008849CF"/>
    <w:rsid w:val="008A0478"/>
    <w:rsid w:val="008A466D"/>
    <w:rsid w:val="008A5C86"/>
    <w:rsid w:val="008B4777"/>
    <w:rsid w:val="008C0952"/>
    <w:rsid w:val="008C18C0"/>
    <w:rsid w:val="008D381B"/>
    <w:rsid w:val="008D449F"/>
    <w:rsid w:val="008D765C"/>
    <w:rsid w:val="008E1E36"/>
    <w:rsid w:val="008E3E21"/>
    <w:rsid w:val="008E73D8"/>
    <w:rsid w:val="008E74EB"/>
    <w:rsid w:val="008F7D15"/>
    <w:rsid w:val="00901786"/>
    <w:rsid w:val="00902AC5"/>
    <w:rsid w:val="00905FC6"/>
    <w:rsid w:val="009077D5"/>
    <w:rsid w:val="00907F98"/>
    <w:rsid w:val="00907FD8"/>
    <w:rsid w:val="00910C92"/>
    <w:rsid w:val="009119F4"/>
    <w:rsid w:val="009130F2"/>
    <w:rsid w:val="00913E7C"/>
    <w:rsid w:val="00916C80"/>
    <w:rsid w:val="00920DD3"/>
    <w:rsid w:val="009228DF"/>
    <w:rsid w:val="009271C0"/>
    <w:rsid w:val="009325F6"/>
    <w:rsid w:val="00932B17"/>
    <w:rsid w:val="00933D88"/>
    <w:rsid w:val="00942646"/>
    <w:rsid w:val="00944E78"/>
    <w:rsid w:val="009475BE"/>
    <w:rsid w:val="00951AC0"/>
    <w:rsid w:val="0095271A"/>
    <w:rsid w:val="00953EBD"/>
    <w:rsid w:val="0095515F"/>
    <w:rsid w:val="00956C57"/>
    <w:rsid w:val="009618BD"/>
    <w:rsid w:val="00962B38"/>
    <w:rsid w:val="009639E1"/>
    <w:rsid w:val="00963F9B"/>
    <w:rsid w:val="00966E48"/>
    <w:rsid w:val="009743A8"/>
    <w:rsid w:val="00975049"/>
    <w:rsid w:val="00981E84"/>
    <w:rsid w:val="009879CC"/>
    <w:rsid w:val="009905A2"/>
    <w:rsid w:val="00991AEE"/>
    <w:rsid w:val="009931E4"/>
    <w:rsid w:val="009940C7"/>
    <w:rsid w:val="009A087F"/>
    <w:rsid w:val="009A44BF"/>
    <w:rsid w:val="009B3203"/>
    <w:rsid w:val="009B4FB5"/>
    <w:rsid w:val="009B72FE"/>
    <w:rsid w:val="009C01B0"/>
    <w:rsid w:val="009C326E"/>
    <w:rsid w:val="009D2BDF"/>
    <w:rsid w:val="009D5B50"/>
    <w:rsid w:val="009D5F0F"/>
    <w:rsid w:val="009D7541"/>
    <w:rsid w:val="009E16C4"/>
    <w:rsid w:val="009E40F7"/>
    <w:rsid w:val="009E5A9F"/>
    <w:rsid w:val="009F07F4"/>
    <w:rsid w:val="009F5DED"/>
    <w:rsid w:val="009F63D1"/>
    <w:rsid w:val="009F7622"/>
    <w:rsid w:val="00A03825"/>
    <w:rsid w:val="00A06473"/>
    <w:rsid w:val="00A06FE3"/>
    <w:rsid w:val="00A07F2F"/>
    <w:rsid w:val="00A119E7"/>
    <w:rsid w:val="00A1292C"/>
    <w:rsid w:val="00A14967"/>
    <w:rsid w:val="00A16562"/>
    <w:rsid w:val="00A17AC0"/>
    <w:rsid w:val="00A30187"/>
    <w:rsid w:val="00A30B6A"/>
    <w:rsid w:val="00A33C2E"/>
    <w:rsid w:val="00A377B5"/>
    <w:rsid w:val="00A44144"/>
    <w:rsid w:val="00A47600"/>
    <w:rsid w:val="00A52DDF"/>
    <w:rsid w:val="00A5438F"/>
    <w:rsid w:val="00A61B68"/>
    <w:rsid w:val="00A63A5B"/>
    <w:rsid w:val="00A70D67"/>
    <w:rsid w:val="00A752B2"/>
    <w:rsid w:val="00A83BD2"/>
    <w:rsid w:val="00A84930"/>
    <w:rsid w:val="00A914C2"/>
    <w:rsid w:val="00A934D8"/>
    <w:rsid w:val="00AA0D55"/>
    <w:rsid w:val="00AA18D4"/>
    <w:rsid w:val="00AA425F"/>
    <w:rsid w:val="00AB2067"/>
    <w:rsid w:val="00AB5259"/>
    <w:rsid w:val="00AB74C0"/>
    <w:rsid w:val="00AB7B11"/>
    <w:rsid w:val="00AC0071"/>
    <w:rsid w:val="00AC1F6A"/>
    <w:rsid w:val="00AC472D"/>
    <w:rsid w:val="00AD5598"/>
    <w:rsid w:val="00AE09D1"/>
    <w:rsid w:val="00AE376C"/>
    <w:rsid w:val="00AE5E33"/>
    <w:rsid w:val="00B02431"/>
    <w:rsid w:val="00B13E1C"/>
    <w:rsid w:val="00B22688"/>
    <w:rsid w:val="00B27B2E"/>
    <w:rsid w:val="00B31556"/>
    <w:rsid w:val="00B34051"/>
    <w:rsid w:val="00B406CD"/>
    <w:rsid w:val="00B52280"/>
    <w:rsid w:val="00B533DF"/>
    <w:rsid w:val="00B551E8"/>
    <w:rsid w:val="00B56F49"/>
    <w:rsid w:val="00B65714"/>
    <w:rsid w:val="00B66460"/>
    <w:rsid w:val="00B665F6"/>
    <w:rsid w:val="00B67649"/>
    <w:rsid w:val="00B71A0E"/>
    <w:rsid w:val="00B7302F"/>
    <w:rsid w:val="00B91C96"/>
    <w:rsid w:val="00B94BD6"/>
    <w:rsid w:val="00B959DA"/>
    <w:rsid w:val="00B97117"/>
    <w:rsid w:val="00BA008A"/>
    <w:rsid w:val="00BA2C94"/>
    <w:rsid w:val="00BA4D9B"/>
    <w:rsid w:val="00BA5B19"/>
    <w:rsid w:val="00BA681B"/>
    <w:rsid w:val="00BA7390"/>
    <w:rsid w:val="00BC0F7F"/>
    <w:rsid w:val="00BC165A"/>
    <w:rsid w:val="00BC4DA2"/>
    <w:rsid w:val="00BC5109"/>
    <w:rsid w:val="00BD3B14"/>
    <w:rsid w:val="00BD40A3"/>
    <w:rsid w:val="00BE0A09"/>
    <w:rsid w:val="00BE1BBF"/>
    <w:rsid w:val="00BE6C69"/>
    <w:rsid w:val="00BF1B1B"/>
    <w:rsid w:val="00BF2646"/>
    <w:rsid w:val="00BF3042"/>
    <w:rsid w:val="00BF4632"/>
    <w:rsid w:val="00BF4ECB"/>
    <w:rsid w:val="00BF50EE"/>
    <w:rsid w:val="00BF5808"/>
    <w:rsid w:val="00C07FDF"/>
    <w:rsid w:val="00C10B76"/>
    <w:rsid w:val="00C10CEF"/>
    <w:rsid w:val="00C11C42"/>
    <w:rsid w:val="00C126F0"/>
    <w:rsid w:val="00C15199"/>
    <w:rsid w:val="00C2145D"/>
    <w:rsid w:val="00C23681"/>
    <w:rsid w:val="00C24CFB"/>
    <w:rsid w:val="00C25CB3"/>
    <w:rsid w:val="00C261CB"/>
    <w:rsid w:val="00C27017"/>
    <w:rsid w:val="00C27604"/>
    <w:rsid w:val="00C309AA"/>
    <w:rsid w:val="00C32447"/>
    <w:rsid w:val="00C32EF7"/>
    <w:rsid w:val="00C340FA"/>
    <w:rsid w:val="00C347FE"/>
    <w:rsid w:val="00C34C58"/>
    <w:rsid w:val="00C3628B"/>
    <w:rsid w:val="00C41E2D"/>
    <w:rsid w:val="00C468F6"/>
    <w:rsid w:val="00C46FE9"/>
    <w:rsid w:val="00C5049C"/>
    <w:rsid w:val="00C51B9F"/>
    <w:rsid w:val="00C52BAF"/>
    <w:rsid w:val="00C53463"/>
    <w:rsid w:val="00C546B4"/>
    <w:rsid w:val="00C54E2E"/>
    <w:rsid w:val="00C56897"/>
    <w:rsid w:val="00C602AB"/>
    <w:rsid w:val="00C60AE4"/>
    <w:rsid w:val="00C60E4E"/>
    <w:rsid w:val="00C648D2"/>
    <w:rsid w:val="00C65EFF"/>
    <w:rsid w:val="00C72353"/>
    <w:rsid w:val="00C74995"/>
    <w:rsid w:val="00C76972"/>
    <w:rsid w:val="00C773CF"/>
    <w:rsid w:val="00C80AA0"/>
    <w:rsid w:val="00C81C11"/>
    <w:rsid w:val="00C837EE"/>
    <w:rsid w:val="00C8598F"/>
    <w:rsid w:val="00C86D72"/>
    <w:rsid w:val="00C92519"/>
    <w:rsid w:val="00C9433B"/>
    <w:rsid w:val="00CA1F61"/>
    <w:rsid w:val="00CA3A3B"/>
    <w:rsid w:val="00CA502A"/>
    <w:rsid w:val="00CA5BB4"/>
    <w:rsid w:val="00CB3349"/>
    <w:rsid w:val="00CB3D3B"/>
    <w:rsid w:val="00CB731F"/>
    <w:rsid w:val="00CC189F"/>
    <w:rsid w:val="00CE6406"/>
    <w:rsid w:val="00CF52A0"/>
    <w:rsid w:val="00CF5CF8"/>
    <w:rsid w:val="00CF7CC2"/>
    <w:rsid w:val="00D01A60"/>
    <w:rsid w:val="00D06D76"/>
    <w:rsid w:val="00D11457"/>
    <w:rsid w:val="00D12FD5"/>
    <w:rsid w:val="00D14774"/>
    <w:rsid w:val="00D16DC1"/>
    <w:rsid w:val="00D16F48"/>
    <w:rsid w:val="00D17719"/>
    <w:rsid w:val="00D24F3E"/>
    <w:rsid w:val="00D30C33"/>
    <w:rsid w:val="00D319C2"/>
    <w:rsid w:val="00D37C50"/>
    <w:rsid w:val="00D4541F"/>
    <w:rsid w:val="00D45DFB"/>
    <w:rsid w:val="00D47533"/>
    <w:rsid w:val="00D4794B"/>
    <w:rsid w:val="00D53F55"/>
    <w:rsid w:val="00D61D7F"/>
    <w:rsid w:val="00D70975"/>
    <w:rsid w:val="00D717DE"/>
    <w:rsid w:val="00D7222B"/>
    <w:rsid w:val="00D73DDF"/>
    <w:rsid w:val="00D73FA1"/>
    <w:rsid w:val="00D8022A"/>
    <w:rsid w:val="00D82DF7"/>
    <w:rsid w:val="00D83AF3"/>
    <w:rsid w:val="00D917CA"/>
    <w:rsid w:val="00D94326"/>
    <w:rsid w:val="00D95FC0"/>
    <w:rsid w:val="00DB0A8E"/>
    <w:rsid w:val="00DB62D6"/>
    <w:rsid w:val="00DC3AD7"/>
    <w:rsid w:val="00DC48CB"/>
    <w:rsid w:val="00DC5DD1"/>
    <w:rsid w:val="00DD283B"/>
    <w:rsid w:val="00DD3A06"/>
    <w:rsid w:val="00DD574E"/>
    <w:rsid w:val="00DD7576"/>
    <w:rsid w:val="00DE25CE"/>
    <w:rsid w:val="00DE3D2A"/>
    <w:rsid w:val="00DE4353"/>
    <w:rsid w:val="00DE48ED"/>
    <w:rsid w:val="00DE5A10"/>
    <w:rsid w:val="00DF10B8"/>
    <w:rsid w:val="00DF4628"/>
    <w:rsid w:val="00DF7FA4"/>
    <w:rsid w:val="00E00346"/>
    <w:rsid w:val="00E046EE"/>
    <w:rsid w:val="00E1193D"/>
    <w:rsid w:val="00E22C85"/>
    <w:rsid w:val="00E26F8B"/>
    <w:rsid w:val="00E31736"/>
    <w:rsid w:val="00E35013"/>
    <w:rsid w:val="00E4012B"/>
    <w:rsid w:val="00E4248F"/>
    <w:rsid w:val="00E428BE"/>
    <w:rsid w:val="00E429C3"/>
    <w:rsid w:val="00E43D96"/>
    <w:rsid w:val="00E4620F"/>
    <w:rsid w:val="00E52648"/>
    <w:rsid w:val="00E565A1"/>
    <w:rsid w:val="00E56D4D"/>
    <w:rsid w:val="00E57AA4"/>
    <w:rsid w:val="00E62FFC"/>
    <w:rsid w:val="00E67561"/>
    <w:rsid w:val="00E71329"/>
    <w:rsid w:val="00E72989"/>
    <w:rsid w:val="00E80390"/>
    <w:rsid w:val="00E810FF"/>
    <w:rsid w:val="00E8114E"/>
    <w:rsid w:val="00E86152"/>
    <w:rsid w:val="00E92B54"/>
    <w:rsid w:val="00EA18BC"/>
    <w:rsid w:val="00EA2107"/>
    <w:rsid w:val="00EA6B82"/>
    <w:rsid w:val="00EB1E23"/>
    <w:rsid w:val="00EB2076"/>
    <w:rsid w:val="00EB27A3"/>
    <w:rsid w:val="00EB3A33"/>
    <w:rsid w:val="00EC4D23"/>
    <w:rsid w:val="00ED7BC0"/>
    <w:rsid w:val="00EE44F0"/>
    <w:rsid w:val="00EE5DD4"/>
    <w:rsid w:val="00EF202A"/>
    <w:rsid w:val="00EF292C"/>
    <w:rsid w:val="00EF2AA4"/>
    <w:rsid w:val="00EF7ACE"/>
    <w:rsid w:val="00F019D6"/>
    <w:rsid w:val="00F047EF"/>
    <w:rsid w:val="00F11ACB"/>
    <w:rsid w:val="00F13970"/>
    <w:rsid w:val="00F14B20"/>
    <w:rsid w:val="00F15626"/>
    <w:rsid w:val="00F23802"/>
    <w:rsid w:val="00F23930"/>
    <w:rsid w:val="00F24570"/>
    <w:rsid w:val="00F2464E"/>
    <w:rsid w:val="00F2559B"/>
    <w:rsid w:val="00F370ED"/>
    <w:rsid w:val="00F5510C"/>
    <w:rsid w:val="00F63323"/>
    <w:rsid w:val="00F65EE6"/>
    <w:rsid w:val="00F6626E"/>
    <w:rsid w:val="00F7053B"/>
    <w:rsid w:val="00F72709"/>
    <w:rsid w:val="00F73F7F"/>
    <w:rsid w:val="00F74BCD"/>
    <w:rsid w:val="00F851EC"/>
    <w:rsid w:val="00F85B25"/>
    <w:rsid w:val="00F85C44"/>
    <w:rsid w:val="00F9002F"/>
    <w:rsid w:val="00F907D7"/>
    <w:rsid w:val="00FA3DFE"/>
    <w:rsid w:val="00FB3136"/>
    <w:rsid w:val="00FC2266"/>
    <w:rsid w:val="00FC4759"/>
    <w:rsid w:val="00FC5356"/>
    <w:rsid w:val="00FC603E"/>
    <w:rsid w:val="00FD098C"/>
    <w:rsid w:val="00FD1D92"/>
    <w:rsid w:val="00FD545F"/>
    <w:rsid w:val="00FE282A"/>
    <w:rsid w:val="00FE53ED"/>
    <w:rsid w:val="00FE69F2"/>
    <w:rsid w:val="00FF032A"/>
    <w:rsid w:val="00FF04E3"/>
    <w:rsid w:val="00FF2E5A"/>
    <w:rsid w:val="00FF5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DA8DB6"/>
  <w15:chartTrackingRefBased/>
  <w15:docId w15:val="{7359BB6B-9541-4001-9770-78DA1F34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90"/>
    <w:pPr>
      <w:spacing w:after="0" w:line="240" w:lineRule="auto"/>
    </w:pPr>
    <w:rPr>
      <w:rFonts w:ascii="Calibri" w:eastAsia="Calibri" w:hAnsi="Calibri" w:cs="Times New Roman"/>
      <w:sz w:val="24"/>
      <w:szCs w:val="24"/>
      <w:lang w:val="en-GB"/>
    </w:rPr>
  </w:style>
  <w:style w:type="paragraph" w:styleId="Heading2">
    <w:name w:val="heading 2"/>
    <w:basedOn w:val="Normal"/>
    <w:link w:val="Heading2Char"/>
    <w:uiPriority w:val="9"/>
    <w:qFormat/>
    <w:rsid w:val="00EE44F0"/>
    <w:pPr>
      <w:spacing w:before="100" w:beforeAutospacing="1" w:after="100" w:afterAutospacing="1"/>
      <w:outlineLvl w:val="1"/>
    </w:pPr>
    <w:rPr>
      <w:rFonts w:ascii="Times New Roman" w:eastAsia="Times New Roman" w:hAnsi="Times New Roman"/>
      <w:b/>
      <w:bCs/>
      <w:sz w:val="36"/>
      <w:szCs w:val="36"/>
      <w:lang w:val="en-AU" w:eastAsia="en-AU"/>
    </w:rPr>
  </w:style>
  <w:style w:type="paragraph" w:styleId="Heading5">
    <w:name w:val="heading 5"/>
    <w:basedOn w:val="Normal"/>
    <w:link w:val="Heading5Char"/>
    <w:uiPriority w:val="9"/>
    <w:qFormat/>
    <w:rsid w:val="00EE44F0"/>
    <w:pPr>
      <w:spacing w:before="100" w:beforeAutospacing="1" w:after="100" w:afterAutospacing="1"/>
      <w:outlineLvl w:val="4"/>
    </w:pPr>
    <w:rPr>
      <w:rFonts w:ascii="Times New Roman" w:eastAsia="Times New Roman" w:hAnsi="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390"/>
    <w:pPr>
      <w:tabs>
        <w:tab w:val="center" w:pos="4513"/>
        <w:tab w:val="right" w:pos="9026"/>
      </w:tabs>
    </w:pPr>
  </w:style>
  <w:style w:type="character" w:customStyle="1" w:styleId="HeaderChar">
    <w:name w:val="Header Char"/>
    <w:basedOn w:val="DefaultParagraphFont"/>
    <w:link w:val="Header"/>
    <w:uiPriority w:val="99"/>
    <w:rsid w:val="00BA7390"/>
    <w:rPr>
      <w:rFonts w:ascii="Calibri" w:eastAsia="Calibri" w:hAnsi="Calibri" w:cs="Times New Roman"/>
      <w:sz w:val="24"/>
      <w:szCs w:val="24"/>
      <w:lang w:val="en-GB"/>
    </w:rPr>
  </w:style>
  <w:style w:type="paragraph" w:styleId="Footer">
    <w:name w:val="footer"/>
    <w:basedOn w:val="Normal"/>
    <w:link w:val="FooterChar"/>
    <w:uiPriority w:val="99"/>
    <w:unhideWhenUsed/>
    <w:rsid w:val="00BA7390"/>
    <w:pPr>
      <w:tabs>
        <w:tab w:val="center" w:pos="4513"/>
        <w:tab w:val="right" w:pos="9026"/>
      </w:tabs>
      <w:spacing w:before="240"/>
    </w:pPr>
    <w:rPr>
      <w:color w:val="430098"/>
    </w:rPr>
  </w:style>
  <w:style w:type="character" w:customStyle="1" w:styleId="FooterChar">
    <w:name w:val="Footer Char"/>
    <w:basedOn w:val="DefaultParagraphFont"/>
    <w:link w:val="Footer"/>
    <w:uiPriority w:val="99"/>
    <w:rsid w:val="00BA7390"/>
    <w:rPr>
      <w:rFonts w:ascii="Calibri" w:eastAsia="Calibri" w:hAnsi="Calibri" w:cs="Times New Roman"/>
      <w:color w:val="430098"/>
      <w:sz w:val="24"/>
      <w:szCs w:val="24"/>
      <w:lang w:val="en-GB"/>
    </w:rPr>
  </w:style>
  <w:style w:type="paragraph" w:customStyle="1" w:styleId="Body">
    <w:name w:val="Body"/>
    <w:basedOn w:val="Normal"/>
    <w:qFormat/>
    <w:rsid w:val="00BA7390"/>
    <w:pPr>
      <w:widowControl w:val="0"/>
      <w:suppressAutoHyphens/>
      <w:autoSpaceDE w:val="0"/>
      <w:autoSpaceDN w:val="0"/>
      <w:adjustRightInd w:val="0"/>
      <w:spacing w:after="240" w:line="264" w:lineRule="auto"/>
      <w:textAlignment w:val="center"/>
    </w:pPr>
    <w:rPr>
      <w:rFonts w:cs="PostGrotesk-Book"/>
      <w:color w:val="55565A"/>
      <w:sz w:val="22"/>
      <w:szCs w:val="22"/>
    </w:rPr>
  </w:style>
  <w:style w:type="paragraph" w:customStyle="1" w:styleId="SectionHeading1">
    <w:name w:val="Section Heading 1"/>
    <w:basedOn w:val="Normal"/>
    <w:qFormat/>
    <w:rsid w:val="00BA7390"/>
    <w:pPr>
      <w:widowControl w:val="0"/>
      <w:suppressAutoHyphens/>
      <w:autoSpaceDE w:val="0"/>
      <w:autoSpaceDN w:val="0"/>
      <w:adjustRightInd w:val="0"/>
      <w:spacing w:after="120" w:line="288" w:lineRule="auto"/>
      <w:textAlignment w:val="center"/>
    </w:pPr>
    <w:rPr>
      <w:rFonts w:cs="PostGrotesk-Medium"/>
      <w:color w:val="430098"/>
      <w:sz w:val="28"/>
      <w:szCs w:val="28"/>
    </w:rPr>
  </w:style>
  <w:style w:type="paragraph" w:customStyle="1" w:styleId="Disclaimer">
    <w:name w:val="Disclaimer"/>
    <w:basedOn w:val="Normal"/>
    <w:qFormat/>
    <w:rsid w:val="00BA7390"/>
    <w:pPr>
      <w:ind w:right="-7"/>
    </w:pPr>
    <w:rPr>
      <w:rFonts w:cs="PostGrotesk-Book"/>
      <w:color w:val="55565A"/>
      <w:sz w:val="18"/>
      <w:szCs w:val="18"/>
    </w:rPr>
  </w:style>
  <w:style w:type="paragraph" w:customStyle="1" w:styleId="DocumentTitle">
    <w:name w:val="Document Title"/>
    <w:basedOn w:val="Header"/>
    <w:qFormat/>
    <w:rsid w:val="00BA7390"/>
    <w:pPr>
      <w:tabs>
        <w:tab w:val="clear" w:pos="9026"/>
        <w:tab w:val="left" w:pos="6946"/>
      </w:tabs>
      <w:spacing w:before="840" w:after="120"/>
    </w:pPr>
    <w:rPr>
      <w:rFonts w:ascii="Arial" w:hAnsi="Arial" w:cs="Arial"/>
      <w:b/>
      <w:color w:val="430098"/>
      <w:sz w:val="40"/>
      <w:szCs w:val="40"/>
    </w:rPr>
  </w:style>
  <w:style w:type="character" w:styleId="Hyperlink">
    <w:name w:val="Hyperlink"/>
    <w:uiPriority w:val="99"/>
    <w:unhideWhenUsed/>
    <w:rsid w:val="00BA7390"/>
    <w:rPr>
      <w:color w:val="0000FF"/>
      <w:u w:val="single"/>
    </w:rPr>
  </w:style>
  <w:style w:type="character" w:styleId="UnresolvedMention">
    <w:name w:val="Unresolved Mention"/>
    <w:basedOn w:val="DefaultParagraphFont"/>
    <w:uiPriority w:val="99"/>
    <w:semiHidden/>
    <w:unhideWhenUsed/>
    <w:rsid w:val="00BA008A"/>
    <w:rPr>
      <w:color w:val="808080"/>
      <w:shd w:val="clear" w:color="auto" w:fill="E6E6E6"/>
    </w:rPr>
  </w:style>
  <w:style w:type="character" w:styleId="CommentReference">
    <w:name w:val="annotation reference"/>
    <w:basedOn w:val="DefaultParagraphFont"/>
    <w:uiPriority w:val="99"/>
    <w:semiHidden/>
    <w:unhideWhenUsed/>
    <w:rsid w:val="00E62FFC"/>
    <w:rPr>
      <w:sz w:val="16"/>
      <w:szCs w:val="16"/>
    </w:rPr>
  </w:style>
  <w:style w:type="paragraph" w:styleId="CommentText">
    <w:name w:val="annotation text"/>
    <w:basedOn w:val="Normal"/>
    <w:link w:val="CommentTextChar"/>
    <w:uiPriority w:val="99"/>
    <w:semiHidden/>
    <w:unhideWhenUsed/>
    <w:rsid w:val="00E62FFC"/>
    <w:rPr>
      <w:sz w:val="20"/>
      <w:szCs w:val="20"/>
    </w:rPr>
  </w:style>
  <w:style w:type="character" w:customStyle="1" w:styleId="CommentTextChar">
    <w:name w:val="Comment Text Char"/>
    <w:basedOn w:val="DefaultParagraphFont"/>
    <w:link w:val="CommentText"/>
    <w:uiPriority w:val="99"/>
    <w:semiHidden/>
    <w:rsid w:val="00E62FF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62FFC"/>
    <w:rPr>
      <w:b/>
      <w:bCs/>
    </w:rPr>
  </w:style>
  <w:style w:type="character" w:customStyle="1" w:styleId="CommentSubjectChar">
    <w:name w:val="Comment Subject Char"/>
    <w:basedOn w:val="CommentTextChar"/>
    <w:link w:val="CommentSubject"/>
    <w:uiPriority w:val="99"/>
    <w:semiHidden/>
    <w:rsid w:val="00E62FFC"/>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E62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FC"/>
    <w:rPr>
      <w:rFonts w:ascii="Segoe UI" w:eastAsia="Calibri" w:hAnsi="Segoe UI" w:cs="Segoe UI"/>
      <w:sz w:val="18"/>
      <w:szCs w:val="18"/>
      <w:lang w:val="en-GB"/>
    </w:rPr>
  </w:style>
  <w:style w:type="paragraph" w:styleId="FootnoteText">
    <w:name w:val="footnote text"/>
    <w:basedOn w:val="Normal"/>
    <w:link w:val="FootnoteTextChar"/>
    <w:uiPriority w:val="99"/>
    <w:semiHidden/>
    <w:unhideWhenUsed/>
    <w:rsid w:val="0080189E"/>
    <w:rPr>
      <w:sz w:val="20"/>
      <w:szCs w:val="20"/>
    </w:rPr>
  </w:style>
  <w:style w:type="character" w:customStyle="1" w:styleId="FootnoteTextChar">
    <w:name w:val="Footnote Text Char"/>
    <w:basedOn w:val="DefaultParagraphFont"/>
    <w:link w:val="FootnoteText"/>
    <w:uiPriority w:val="99"/>
    <w:semiHidden/>
    <w:rsid w:val="0080189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0189E"/>
    <w:rPr>
      <w:vertAlign w:val="superscript"/>
    </w:rPr>
  </w:style>
  <w:style w:type="paragraph" w:styleId="Revision">
    <w:name w:val="Revision"/>
    <w:hidden/>
    <w:uiPriority w:val="99"/>
    <w:semiHidden/>
    <w:rsid w:val="002F4EC6"/>
    <w:pPr>
      <w:spacing w:after="0" w:line="240" w:lineRule="auto"/>
    </w:pPr>
    <w:rPr>
      <w:rFonts w:ascii="Calibri" w:eastAsia="Calibri" w:hAnsi="Calibri" w:cs="Times New Roman"/>
      <w:sz w:val="24"/>
      <w:szCs w:val="24"/>
      <w:lang w:val="en-GB"/>
    </w:rPr>
  </w:style>
  <w:style w:type="paragraph" w:styleId="ListParagraph">
    <w:name w:val="List Paragraph"/>
    <w:basedOn w:val="Normal"/>
    <w:uiPriority w:val="34"/>
    <w:qFormat/>
    <w:rsid w:val="004B2A46"/>
    <w:pPr>
      <w:ind w:left="720"/>
    </w:pPr>
    <w:rPr>
      <w:rFonts w:eastAsiaTheme="minorHAnsi" w:cs="Calibri"/>
      <w:lang w:val="en-AU" w:eastAsia="en-AU"/>
    </w:rPr>
  </w:style>
  <w:style w:type="character" w:customStyle="1" w:styleId="Heading2Char">
    <w:name w:val="Heading 2 Char"/>
    <w:basedOn w:val="DefaultParagraphFont"/>
    <w:link w:val="Heading2"/>
    <w:uiPriority w:val="9"/>
    <w:rsid w:val="00EE44F0"/>
    <w:rPr>
      <w:rFonts w:ascii="Times New Roman" w:eastAsia="Times New Roman" w:hAnsi="Times New Roman" w:cs="Times New Roman"/>
      <w:b/>
      <w:bCs/>
      <w:sz w:val="36"/>
      <w:szCs w:val="36"/>
      <w:lang w:eastAsia="en-AU"/>
    </w:rPr>
  </w:style>
  <w:style w:type="character" w:customStyle="1" w:styleId="Heading5Char">
    <w:name w:val="Heading 5 Char"/>
    <w:basedOn w:val="DefaultParagraphFont"/>
    <w:link w:val="Heading5"/>
    <w:uiPriority w:val="9"/>
    <w:rsid w:val="00EE44F0"/>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EE44F0"/>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EE44F0"/>
    <w:rPr>
      <w:b/>
      <w:bCs/>
    </w:rPr>
  </w:style>
  <w:style w:type="character" w:styleId="Emphasis">
    <w:name w:val="Emphasis"/>
    <w:basedOn w:val="DefaultParagraphFont"/>
    <w:uiPriority w:val="20"/>
    <w:qFormat/>
    <w:rsid w:val="00EE44F0"/>
    <w:rPr>
      <w:i/>
      <w:iCs/>
    </w:rPr>
  </w:style>
  <w:style w:type="character" w:styleId="FollowedHyperlink">
    <w:name w:val="FollowedHyperlink"/>
    <w:basedOn w:val="DefaultParagraphFont"/>
    <w:uiPriority w:val="99"/>
    <w:semiHidden/>
    <w:unhideWhenUsed/>
    <w:rsid w:val="00A11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549">
      <w:bodyDiv w:val="1"/>
      <w:marLeft w:val="0"/>
      <w:marRight w:val="0"/>
      <w:marTop w:val="0"/>
      <w:marBottom w:val="0"/>
      <w:divBdr>
        <w:top w:val="none" w:sz="0" w:space="0" w:color="auto"/>
        <w:left w:val="none" w:sz="0" w:space="0" w:color="auto"/>
        <w:bottom w:val="none" w:sz="0" w:space="0" w:color="auto"/>
        <w:right w:val="none" w:sz="0" w:space="0" w:color="auto"/>
      </w:divBdr>
    </w:div>
    <w:div w:id="298076977">
      <w:bodyDiv w:val="1"/>
      <w:marLeft w:val="0"/>
      <w:marRight w:val="0"/>
      <w:marTop w:val="0"/>
      <w:marBottom w:val="0"/>
      <w:divBdr>
        <w:top w:val="none" w:sz="0" w:space="0" w:color="auto"/>
        <w:left w:val="none" w:sz="0" w:space="0" w:color="auto"/>
        <w:bottom w:val="none" w:sz="0" w:space="0" w:color="auto"/>
        <w:right w:val="none" w:sz="0" w:space="0" w:color="auto"/>
      </w:divBdr>
    </w:div>
    <w:div w:id="335234067">
      <w:bodyDiv w:val="1"/>
      <w:marLeft w:val="0"/>
      <w:marRight w:val="0"/>
      <w:marTop w:val="0"/>
      <w:marBottom w:val="0"/>
      <w:divBdr>
        <w:top w:val="none" w:sz="0" w:space="0" w:color="auto"/>
        <w:left w:val="none" w:sz="0" w:space="0" w:color="auto"/>
        <w:bottom w:val="none" w:sz="0" w:space="0" w:color="auto"/>
        <w:right w:val="none" w:sz="0" w:space="0" w:color="auto"/>
      </w:divBdr>
    </w:div>
    <w:div w:id="366297383">
      <w:bodyDiv w:val="1"/>
      <w:marLeft w:val="0"/>
      <w:marRight w:val="0"/>
      <w:marTop w:val="0"/>
      <w:marBottom w:val="0"/>
      <w:divBdr>
        <w:top w:val="none" w:sz="0" w:space="0" w:color="auto"/>
        <w:left w:val="none" w:sz="0" w:space="0" w:color="auto"/>
        <w:bottom w:val="none" w:sz="0" w:space="0" w:color="auto"/>
        <w:right w:val="none" w:sz="0" w:space="0" w:color="auto"/>
      </w:divBdr>
    </w:div>
    <w:div w:id="457997246">
      <w:bodyDiv w:val="1"/>
      <w:marLeft w:val="0"/>
      <w:marRight w:val="0"/>
      <w:marTop w:val="0"/>
      <w:marBottom w:val="0"/>
      <w:divBdr>
        <w:top w:val="none" w:sz="0" w:space="0" w:color="auto"/>
        <w:left w:val="none" w:sz="0" w:space="0" w:color="auto"/>
        <w:bottom w:val="none" w:sz="0" w:space="0" w:color="auto"/>
        <w:right w:val="none" w:sz="0" w:space="0" w:color="auto"/>
      </w:divBdr>
    </w:div>
    <w:div w:id="663246382">
      <w:bodyDiv w:val="1"/>
      <w:marLeft w:val="0"/>
      <w:marRight w:val="0"/>
      <w:marTop w:val="0"/>
      <w:marBottom w:val="0"/>
      <w:divBdr>
        <w:top w:val="none" w:sz="0" w:space="0" w:color="auto"/>
        <w:left w:val="none" w:sz="0" w:space="0" w:color="auto"/>
        <w:bottom w:val="none" w:sz="0" w:space="0" w:color="auto"/>
        <w:right w:val="none" w:sz="0" w:space="0" w:color="auto"/>
      </w:divBdr>
    </w:div>
    <w:div w:id="1139684812">
      <w:bodyDiv w:val="1"/>
      <w:marLeft w:val="0"/>
      <w:marRight w:val="0"/>
      <w:marTop w:val="0"/>
      <w:marBottom w:val="0"/>
      <w:divBdr>
        <w:top w:val="none" w:sz="0" w:space="0" w:color="auto"/>
        <w:left w:val="none" w:sz="0" w:space="0" w:color="auto"/>
        <w:bottom w:val="none" w:sz="0" w:space="0" w:color="auto"/>
        <w:right w:val="none" w:sz="0" w:space="0" w:color="auto"/>
      </w:divBdr>
    </w:div>
    <w:div w:id="1305156145">
      <w:bodyDiv w:val="1"/>
      <w:marLeft w:val="0"/>
      <w:marRight w:val="0"/>
      <w:marTop w:val="0"/>
      <w:marBottom w:val="0"/>
      <w:divBdr>
        <w:top w:val="none" w:sz="0" w:space="0" w:color="auto"/>
        <w:left w:val="none" w:sz="0" w:space="0" w:color="auto"/>
        <w:bottom w:val="none" w:sz="0" w:space="0" w:color="auto"/>
        <w:right w:val="none" w:sz="0" w:space="0" w:color="auto"/>
      </w:divBdr>
    </w:div>
    <w:div w:id="1714575519">
      <w:bodyDiv w:val="1"/>
      <w:marLeft w:val="0"/>
      <w:marRight w:val="0"/>
      <w:marTop w:val="0"/>
      <w:marBottom w:val="0"/>
      <w:divBdr>
        <w:top w:val="none" w:sz="0" w:space="0" w:color="auto"/>
        <w:left w:val="none" w:sz="0" w:space="0" w:color="auto"/>
        <w:bottom w:val="none" w:sz="0" w:space="0" w:color="auto"/>
        <w:right w:val="none" w:sz="0" w:space="0" w:color="auto"/>
      </w:divBdr>
    </w:div>
    <w:div w:id="1723945494">
      <w:bodyDiv w:val="1"/>
      <w:marLeft w:val="0"/>
      <w:marRight w:val="0"/>
      <w:marTop w:val="0"/>
      <w:marBottom w:val="0"/>
      <w:divBdr>
        <w:top w:val="none" w:sz="0" w:space="0" w:color="auto"/>
        <w:left w:val="none" w:sz="0" w:space="0" w:color="auto"/>
        <w:bottom w:val="none" w:sz="0" w:space="0" w:color="auto"/>
        <w:right w:val="none" w:sz="0" w:space="0" w:color="auto"/>
      </w:divBdr>
    </w:div>
    <w:div w:id="18849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lii.edu.au/cgi-bin/viewdoc/au/cases/vic/VSC/2019/69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3899-0B3E-4F4C-9123-2B2676A5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1080</Words>
  <Characters>6157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Crossman</dc:creator>
  <cp:keywords/>
  <dc:description/>
  <cp:lastModifiedBy>Jessica Brackin</cp:lastModifiedBy>
  <cp:revision>2</cp:revision>
  <cp:lastPrinted>2019-11-20T03:17:00Z</cp:lastPrinted>
  <dcterms:created xsi:type="dcterms:W3CDTF">2019-11-28T05:07:00Z</dcterms:created>
  <dcterms:modified xsi:type="dcterms:W3CDTF">2019-11-28T05:07:00Z</dcterms:modified>
</cp:coreProperties>
</file>