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62572" w14:textId="77777777" w:rsidR="0034513D" w:rsidRDefault="007B5426" w:rsidP="00D77B3C">
      <w:pPr>
        <w:pStyle w:val="MainTitle"/>
      </w:pPr>
      <w:bookmarkStart w:id="0" w:name="_GoBack"/>
      <w:bookmarkEnd w:id="0"/>
      <w:r>
        <w:t>Proactive release of information</w:t>
      </w:r>
    </w:p>
    <w:p w14:paraId="1E3763DA" w14:textId="043F40D1" w:rsidR="0034513D" w:rsidRDefault="0034513D" w:rsidP="0034513D">
      <w:pPr>
        <w:pStyle w:val="Body"/>
      </w:pPr>
      <w:r w:rsidRPr="00330030">
        <w:t xml:space="preserve">This </w:t>
      </w:r>
      <w:r>
        <w:t xml:space="preserve">practice note </w:t>
      </w:r>
      <w:r w:rsidR="00BD6595">
        <w:t xml:space="preserve">provides an overview of the </w:t>
      </w:r>
      <w:r w:rsidR="000C3CE2">
        <w:t>proactive release of government informatio</w:t>
      </w:r>
      <w:r w:rsidR="00E9304A">
        <w:t>n</w:t>
      </w:r>
      <w:r w:rsidR="000C3CE2">
        <w:t xml:space="preserve">. </w:t>
      </w:r>
      <w:r>
        <w:t xml:space="preserve">All legislative references are to the </w:t>
      </w:r>
      <w:r>
        <w:rPr>
          <w:i/>
          <w:iCs/>
        </w:rPr>
        <w:t xml:space="preserve">Freedom of Information Act 1982 </w:t>
      </w:r>
      <w:r>
        <w:t>(Vic) (</w:t>
      </w:r>
      <w:r>
        <w:rPr>
          <w:b/>
          <w:bCs/>
        </w:rPr>
        <w:t>the Act</w:t>
      </w:r>
      <w:r>
        <w:t>) unless otherwise stated.</w:t>
      </w:r>
    </w:p>
    <w:p w14:paraId="4DFE6914" w14:textId="77777777" w:rsidR="0034513D" w:rsidRDefault="000C3CE2">
      <w:pPr>
        <w:pStyle w:val="Heading-1"/>
      </w:pPr>
      <w:r>
        <w:t>What is proactive release?</w:t>
      </w:r>
    </w:p>
    <w:p w14:paraId="3411F7A9" w14:textId="436E6133" w:rsidR="00D77B3C" w:rsidRPr="00E058B3" w:rsidRDefault="000C3CE2" w:rsidP="00E058B3">
      <w:pPr>
        <w:pStyle w:val="Body"/>
      </w:pPr>
      <w:r>
        <w:t xml:space="preserve">Proactive release involves an agency making information </w:t>
      </w:r>
      <w:r w:rsidR="000578D1">
        <w:t xml:space="preserve">or documents </w:t>
      </w:r>
      <w:r>
        <w:t>it holds or collects</w:t>
      </w:r>
      <w:r w:rsidR="00122D94">
        <w:t xml:space="preserve"> publicly</w:t>
      </w:r>
      <w:r>
        <w:t xml:space="preserve"> available</w:t>
      </w:r>
      <w:r w:rsidR="00A309D1">
        <w:t>, on its own accord</w:t>
      </w:r>
      <w:r w:rsidR="0066547B">
        <w:t xml:space="preserve"> without </w:t>
      </w:r>
      <w:r w:rsidR="0013697F">
        <w:t xml:space="preserve">someone making </w:t>
      </w:r>
      <w:r w:rsidR="0066547B">
        <w:t>a</w:t>
      </w:r>
      <w:r w:rsidR="000578D1">
        <w:t xml:space="preserve">n information access </w:t>
      </w:r>
      <w:r w:rsidR="0066547B">
        <w:t>request</w:t>
      </w:r>
      <w:r>
        <w:t xml:space="preserve">. For example, an </w:t>
      </w:r>
      <w:r w:rsidRPr="00E058B3">
        <w:t xml:space="preserve">agency may proactively release policy or non-sensitive </w:t>
      </w:r>
      <w:r w:rsidR="00DB68A8" w:rsidRPr="00E058B3">
        <w:t>documents</w:t>
      </w:r>
      <w:r w:rsidRPr="00E058B3">
        <w:t xml:space="preserve"> by publishing them on its website. </w:t>
      </w:r>
    </w:p>
    <w:p w14:paraId="3E74401C" w14:textId="77777777" w:rsidR="00E058B3" w:rsidRDefault="00F273D9" w:rsidP="00E058B3">
      <w:pPr>
        <w:pStyle w:val="Body"/>
      </w:pPr>
      <w:r w:rsidRPr="00E058B3">
        <w:t>Proactive release</w:t>
      </w:r>
      <w:r w:rsidR="000C3CE2" w:rsidRPr="00E058B3">
        <w:t xml:space="preserve"> complements and is consistent with agencies’ obligations under the Act</w:t>
      </w:r>
      <w:r w:rsidRPr="00E058B3">
        <w:t xml:space="preserve"> to make the maximum amount of government information available to the public promptly and inexpensively</w:t>
      </w:r>
      <w:r w:rsidR="000C3CE2" w:rsidRPr="00E058B3">
        <w:t xml:space="preserve">. </w:t>
      </w:r>
    </w:p>
    <w:p w14:paraId="3056EE9B" w14:textId="05F99147" w:rsidR="000C3CE2" w:rsidRDefault="000C3CE2" w:rsidP="00E058B3">
      <w:pPr>
        <w:pStyle w:val="Body"/>
      </w:pPr>
      <w:r w:rsidRPr="00E058B3">
        <w:t>It prom</w:t>
      </w:r>
      <w:r>
        <w:t xml:space="preserve">otes </w:t>
      </w:r>
      <w:r w:rsidRPr="00E058B3">
        <w:t>government</w:t>
      </w:r>
      <w:r>
        <w:t xml:space="preserve"> transparency and accountability </w:t>
      </w:r>
      <w:r w:rsidR="00DB68A8">
        <w:t xml:space="preserve">by </w:t>
      </w:r>
      <w:r w:rsidR="00FE53C7">
        <w:t>increasing the public’s</w:t>
      </w:r>
      <w:r w:rsidR="00DB68A8">
        <w:t xml:space="preserve"> access </w:t>
      </w:r>
      <w:r w:rsidR="00FE53C7">
        <w:t xml:space="preserve">to </w:t>
      </w:r>
      <w:r w:rsidR="00DB68A8">
        <w:t>government information</w:t>
      </w:r>
      <w:r w:rsidR="000578D1">
        <w:t xml:space="preserve"> and allow</w:t>
      </w:r>
      <w:r w:rsidR="00E058B3">
        <w:t>s</w:t>
      </w:r>
      <w:r w:rsidR="000578D1">
        <w:t xml:space="preserve"> them to participate in government decision making</w:t>
      </w:r>
      <w:r w:rsidR="00DB68A8">
        <w:t xml:space="preserve">. </w:t>
      </w:r>
    </w:p>
    <w:p w14:paraId="41BC6562" w14:textId="4C4425D6" w:rsidR="00F25CF4" w:rsidRDefault="00DB68A8" w:rsidP="00122D94">
      <w:pPr>
        <w:pStyle w:val="Body"/>
        <w:ind w:right="-149"/>
      </w:pPr>
      <w:r>
        <w:t>In addition to promoting open and accountable government, proactive relea</w:t>
      </w:r>
      <w:r w:rsidR="00122D94">
        <w:t>se of</w:t>
      </w:r>
      <w:r>
        <w:t xml:space="preserve"> information can reduce the need for </w:t>
      </w:r>
      <w:r w:rsidR="00C2067A">
        <w:t>information access</w:t>
      </w:r>
      <w:r>
        <w:t xml:space="preserve"> requests. Proactive release can also enhance the public’s trust in government. </w:t>
      </w:r>
    </w:p>
    <w:p w14:paraId="120C6C7B" w14:textId="2F19661D" w:rsidR="00DB68A8" w:rsidRDefault="002A68D9" w:rsidP="00DB68A8">
      <w:pPr>
        <w:pStyle w:val="Body"/>
      </w:pPr>
      <w:r>
        <w:t xml:space="preserve">Agencies should aim to provide access to government information </w:t>
      </w:r>
      <w:r w:rsidR="00F25CF4">
        <w:t>outside the Act</w:t>
      </w:r>
      <w:r w:rsidR="00F25CF4" w:rsidDel="00F25CF4">
        <w:t xml:space="preserve"> </w:t>
      </w:r>
      <w:r w:rsidR="00F25CF4">
        <w:t xml:space="preserve">through </w:t>
      </w:r>
      <w:r>
        <w:t xml:space="preserve">proactive and informal </w:t>
      </w:r>
      <w:r w:rsidR="00F25CF4">
        <w:t xml:space="preserve">information access </w:t>
      </w:r>
      <w:r>
        <w:t>processes.</w:t>
      </w:r>
      <w:r w:rsidR="00A44E57">
        <w:t xml:space="preserve"> For more information on informal release, refer to </w:t>
      </w:r>
      <w:r w:rsidR="00E058B3">
        <w:rPr>
          <w:i/>
          <w:iCs/>
        </w:rPr>
        <w:t>Practice Note 6</w:t>
      </w:r>
      <w:r w:rsidR="00BD6595">
        <w:rPr>
          <w:i/>
          <w:iCs/>
        </w:rPr>
        <w:t>.</w:t>
      </w:r>
      <w:r w:rsidR="00A44E57" w:rsidRPr="0098538C">
        <w:rPr>
          <w:i/>
          <w:iCs/>
        </w:rPr>
        <w:t xml:space="preserve"> </w:t>
      </w:r>
    </w:p>
    <w:p w14:paraId="01AA58B2" w14:textId="2F4984B0" w:rsidR="00DB68A8" w:rsidRDefault="00172A22">
      <w:pPr>
        <w:pStyle w:val="Heading-1"/>
      </w:pPr>
      <w:r>
        <w:t>Part II of the Act</w:t>
      </w:r>
    </w:p>
    <w:p w14:paraId="215F73EE" w14:textId="7C6F3728" w:rsidR="00F25CF4" w:rsidRDefault="00C2067A" w:rsidP="00172A22">
      <w:pPr>
        <w:pStyle w:val="Body"/>
      </w:pPr>
      <w:r>
        <w:t xml:space="preserve">Agencies generate and collect large amounts of information </w:t>
      </w:r>
      <w:r w:rsidR="00F25CF4">
        <w:t xml:space="preserve">and documents </w:t>
      </w:r>
      <w:r>
        <w:t>in carrying out their functions.</w:t>
      </w:r>
      <w:r w:rsidR="00172A22">
        <w:t xml:space="preserve"> The Act recognises the importance of agencies identifying what information they hold and communicating that to the public. </w:t>
      </w:r>
    </w:p>
    <w:p w14:paraId="4F38D06C" w14:textId="5AC1EEF8" w:rsidR="00BD6595" w:rsidRDefault="00172A22" w:rsidP="00172A22">
      <w:pPr>
        <w:pStyle w:val="Body"/>
      </w:pPr>
      <w:r>
        <w:t xml:space="preserve">Part II of the Act sets out </w:t>
      </w:r>
      <w:r w:rsidR="00F25CF4">
        <w:t xml:space="preserve">an information publication scheme </w:t>
      </w:r>
      <w:r w:rsidR="00AE5D3B">
        <w:t xml:space="preserve">that requires </w:t>
      </w:r>
      <w:r>
        <w:t>a</w:t>
      </w:r>
      <w:r w:rsidR="00E058B3">
        <w:t>n a</w:t>
      </w:r>
      <w:r>
        <w:t>genc</w:t>
      </w:r>
      <w:r w:rsidR="00E058B3">
        <w:t>y</w:t>
      </w:r>
      <w:r>
        <w:t xml:space="preserve"> to publish and make available a range of information and documents used </w:t>
      </w:r>
      <w:r w:rsidR="00E058B3">
        <w:t xml:space="preserve">and created </w:t>
      </w:r>
      <w:r>
        <w:t>by the agenc</w:t>
      </w:r>
      <w:r w:rsidR="00E058B3">
        <w:t>y</w:t>
      </w:r>
      <w:r>
        <w:t xml:space="preserve"> in carrying out</w:t>
      </w:r>
      <w:r w:rsidR="00E058B3">
        <w:t xml:space="preserve"> its</w:t>
      </w:r>
      <w:r>
        <w:t xml:space="preserve"> functions. This includes</w:t>
      </w:r>
      <w:r w:rsidR="00BD6595">
        <w:t xml:space="preserve">: </w:t>
      </w:r>
    </w:p>
    <w:p w14:paraId="51A0AD87" w14:textId="7B7226E9" w:rsidR="00BD6595" w:rsidRPr="0098538C" w:rsidRDefault="00BD6595" w:rsidP="0031042D">
      <w:pPr>
        <w:pStyle w:val="ListParagraph"/>
        <w:numPr>
          <w:ilvl w:val="0"/>
          <w:numId w:val="20"/>
        </w:numPr>
        <w:snapToGrid w:val="0"/>
        <w:spacing w:before="200" w:after="200"/>
        <w:ind w:left="357" w:right="-291" w:hanging="357"/>
        <w:contextualSpacing w:val="0"/>
        <w:rPr>
          <w:rFonts w:ascii="Calibri" w:eastAsia="Calibri" w:hAnsi="Calibri" w:cs="PostGrotesk-Book"/>
          <w:color w:val="55565A"/>
          <w:sz w:val="22"/>
          <w:szCs w:val="22"/>
          <w:lang w:val="en-GB"/>
        </w:rPr>
      </w:pPr>
      <w:r w:rsidRPr="0098538C">
        <w:rPr>
          <w:rFonts w:ascii="Calibri" w:eastAsia="Calibri" w:hAnsi="Calibri" w:cs="PostGrotesk-Book"/>
          <w:color w:val="55565A"/>
          <w:sz w:val="22"/>
          <w:szCs w:val="22"/>
          <w:lang w:val="en-GB"/>
        </w:rPr>
        <w:t xml:space="preserve">a statement summarising its organisation and functions, documents and </w:t>
      </w:r>
      <w:r w:rsidR="00F25CF4">
        <w:rPr>
          <w:rFonts w:ascii="Calibri" w:eastAsia="Calibri" w:hAnsi="Calibri" w:cs="PostGrotesk-Book"/>
          <w:color w:val="55565A"/>
          <w:sz w:val="22"/>
          <w:szCs w:val="22"/>
          <w:lang w:val="en-GB"/>
        </w:rPr>
        <w:t>freedom of information (</w:t>
      </w:r>
      <w:r w:rsidRPr="00E058B3">
        <w:rPr>
          <w:rFonts w:ascii="Calibri" w:eastAsia="Calibri" w:hAnsi="Calibri" w:cs="PostGrotesk-Book"/>
          <w:b/>
          <w:color w:val="55565A"/>
          <w:sz w:val="22"/>
          <w:szCs w:val="22"/>
          <w:lang w:val="en-GB"/>
        </w:rPr>
        <w:t>FOI</w:t>
      </w:r>
      <w:r w:rsidR="00F25CF4">
        <w:rPr>
          <w:rFonts w:ascii="Calibri" w:eastAsia="Calibri" w:hAnsi="Calibri" w:cs="PostGrotesk-Book"/>
          <w:color w:val="55565A"/>
          <w:sz w:val="22"/>
          <w:szCs w:val="22"/>
          <w:lang w:val="en-GB"/>
        </w:rPr>
        <w:t>)</w:t>
      </w:r>
      <w:r w:rsidRPr="0098538C">
        <w:rPr>
          <w:rFonts w:ascii="Calibri" w:eastAsia="Calibri" w:hAnsi="Calibri" w:cs="PostGrotesk-Book"/>
          <w:color w:val="55565A"/>
          <w:sz w:val="22"/>
          <w:szCs w:val="22"/>
          <w:lang w:val="en-GB"/>
        </w:rPr>
        <w:t xml:space="preserve"> procedures (for example, the categories of documents maintained in the agency’s possession) – section 7;</w:t>
      </w:r>
    </w:p>
    <w:p w14:paraId="1C2DFC45" w14:textId="77777777" w:rsidR="00BD6595" w:rsidRPr="0098538C" w:rsidRDefault="00BD6595" w:rsidP="0098538C">
      <w:pPr>
        <w:pStyle w:val="ListParagraph"/>
        <w:numPr>
          <w:ilvl w:val="0"/>
          <w:numId w:val="20"/>
        </w:numPr>
        <w:snapToGrid w:val="0"/>
        <w:spacing w:before="200" w:after="200"/>
        <w:ind w:left="357" w:hanging="357"/>
        <w:contextualSpacing w:val="0"/>
        <w:rPr>
          <w:rFonts w:ascii="Calibri" w:eastAsia="Calibri" w:hAnsi="Calibri" w:cs="PostGrotesk-Book"/>
          <w:color w:val="55565A"/>
          <w:sz w:val="22"/>
          <w:szCs w:val="22"/>
          <w:lang w:val="en-GB"/>
        </w:rPr>
      </w:pPr>
      <w:r w:rsidRPr="0098538C">
        <w:rPr>
          <w:rFonts w:ascii="Calibri" w:eastAsia="Calibri" w:hAnsi="Calibri" w:cs="PostGrotesk-Book"/>
          <w:color w:val="55565A"/>
          <w:sz w:val="22"/>
          <w:szCs w:val="22"/>
          <w:lang w:val="en-GB"/>
        </w:rPr>
        <w:t>a statement listing its rules, policies and procedures relevant to the public (for example, manuals, rules of procedure, statements of policy) – section 8; and</w:t>
      </w:r>
    </w:p>
    <w:p w14:paraId="2FE57178" w14:textId="64306EDA" w:rsidR="00172A22" w:rsidRPr="0098538C" w:rsidRDefault="00F25CF4" w:rsidP="0098538C">
      <w:pPr>
        <w:pStyle w:val="Body"/>
        <w:numPr>
          <w:ilvl w:val="0"/>
          <w:numId w:val="20"/>
        </w:numPr>
        <w:snapToGrid w:val="0"/>
        <w:spacing w:before="200" w:line="240" w:lineRule="auto"/>
        <w:ind w:left="357" w:hanging="357"/>
        <w:rPr>
          <w:rFonts w:asciiTheme="minorHAnsi" w:hAnsiTheme="minorHAnsi"/>
        </w:rPr>
      </w:pPr>
      <w:r w:rsidRPr="00313B28">
        <w:t>a statement of the categories of documents the agency</w:t>
      </w:r>
      <w:r w:rsidRPr="0098538C">
        <w:rPr>
          <w:rFonts w:asciiTheme="minorHAnsi" w:hAnsiTheme="minorHAnsi"/>
        </w:rPr>
        <w:t xml:space="preserve"> possesses</w:t>
      </w:r>
      <w:r w:rsidR="00E058B3">
        <w:rPr>
          <w:rFonts w:asciiTheme="minorHAnsi" w:hAnsiTheme="minorHAnsi"/>
        </w:rPr>
        <w:t xml:space="preserve"> that</w:t>
      </w:r>
      <w:r w:rsidRPr="0098538C">
        <w:t xml:space="preserve"> </w:t>
      </w:r>
      <w:r w:rsidR="00BD6595" w:rsidRPr="0098538C">
        <w:t>detail</w:t>
      </w:r>
      <w:r w:rsidR="00E058B3">
        <w:t>s</w:t>
      </w:r>
      <w:r w:rsidR="00BD6595" w:rsidRPr="0098538C">
        <w:t xml:space="preserve"> certain reports, records of decisions and submissions prepared by or for the agency (for example, a paid consultant</w:t>
      </w:r>
      <w:r>
        <w:t>’s</w:t>
      </w:r>
      <w:r w:rsidR="00BD6595" w:rsidRPr="0098538C">
        <w:t xml:space="preserve"> report, a submission prepared for Cabinet, an environmental impact assessment prepared </w:t>
      </w:r>
      <w:r>
        <w:t>by</w:t>
      </w:r>
      <w:r w:rsidRPr="0098538C">
        <w:t xml:space="preserve"> </w:t>
      </w:r>
      <w:r>
        <w:t>the</w:t>
      </w:r>
      <w:r w:rsidRPr="0098538C">
        <w:t xml:space="preserve"> </w:t>
      </w:r>
      <w:r w:rsidR="00BD6595" w:rsidRPr="0098538C">
        <w:t>agency) – section 11</w:t>
      </w:r>
      <w:r w:rsidR="00172A22" w:rsidRPr="0098538C">
        <w:rPr>
          <w:rFonts w:asciiTheme="minorHAnsi" w:hAnsiTheme="minorHAnsi"/>
        </w:rPr>
        <w:t xml:space="preserve">. </w:t>
      </w:r>
    </w:p>
    <w:p w14:paraId="593FF7BE" w14:textId="0D75864A" w:rsidR="00AE5D3B" w:rsidRDefault="00AE5D3B" w:rsidP="00313B28">
      <w:pPr>
        <w:pStyle w:val="Body"/>
        <w:spacing w:before="200"/>
        <w:rPr>
          <w:iCs/>
        </w:rPr>
      </w:pPr>
      <w:r>
        <w:rPr>
          <w:iCs/>
        </w:rPr>
        <w:t>The information publication scheme under the Act serves two purposes. The first purpose is to provide for the proactive disclosure of information and documents by the agency. The second purpose is to assist</w:t>
      </w:r>
      <w:r w:rsidR="00E058B3">
        <w:rPr>
          <w:iCs/>
        </w:rPr>
        <w:t xml:space="preserve"> </w:t>
      </w:r>
      <w:r>
        <w:rPr>
          <w:iCs/>
        </w:rPr>
        <w:t xml:space="preserve">applicants by providing them with a better understanding of the information and documents held by the agency that may be requested </w:t>
      </w:r>
      <w:r w:rsidR="00E058B3">
        <w:rPr>
          <w:iCs/>
        </w:rPr>
        <w:t xml:space="preserve">under the Act </w:t>
      </w:r>
      <w:r>
        <w:rPr>
          <w:iCs/>
        </w:rPr>
        <w:t>if not published by the agency.</w:t>
      </w:r>
    </w:p>
    <w:p w14:paraId="73D81D24" w14:textId="56D83B05" w:rsidR="00E9304A" w:rsidRDefault="00172A22" w:rsidP="00313B28">
      <w:pPr>
        <w:pStyle w:val="Body"/>
        <w:spacing w:before="200"/>
      </w:pPr>
      <w:r>
        <w:rPr>
          <w:i/>
          <w:iCs/>
        </w:rPr>
        <w:t xml:space="preserve">Professional </w:t>
      </w:r>
      <w:r w:rsidR="00BD6595">
        <w:rPr>
          <w:i/>
          <w:iCs/>
        </w:rPr>
        <w:t>S</w:t>
      </w:r>
      <w:r>
        <w:rPr>
          <w:i/>
          <w:iCs/>
        </w:rPr>
        <w:t>tandard 1.3</w:t>
      </w:r>
      <w:r>
        <w:t xml:space="preserve"> supports this by requiring the principal officer of an agency to ensure </w:t>
      </w:r>
      <w:r w:rsidRPr="00313B28">
        <w:t>information</w:t>
      </w:r>
      <w:r>
        <w:t xml:space="preserve"> statements published in accordance with Part II of the Act are available on their agency’s website. </w:t>
      </w:r>
    </w:p>
    <w:p w14:paraId="4651DEE8" w14:textId="4E4F8D9D" w:rsidR="00BD6595" w:rsidRDefault="00BD6595" w:rsidP="00E058B3">
      <w:pPr>
        <w:pStyle w:val="Heading-2"/>
        <w:spacing w:after="60"/>
      </w:pPr>
      <w:r>
        <w:lastRenderedPageBreak/>
        <w:t xml:space="preserve">Information </w:t>
      </w:r>
      <w:r w:rsidR="00AE5D3B">
        <w:t>a</w:t>
      </w:r>
      <w:r>
        <w:t xml:space="preserve">sset </w:t>
      </w:r>
      <w:r w:rsidR="00AE5D3B">
        <w:t>r</w:t>
      </w:r>
      <w:r>
        <w:t>egisters</w:t>
      </w:r>
    </w:p>
    <w:p w14:paraId="7CAF16FE" w14:textId="3AE2C96C" w:rsidR="00AE5D3B" w:rsidRPr="00E058B3" w:rsidRDefault="00BD6595">
      <w:pPr>
        <w:pStyle w:val="Body"/>
        <w:rPr>
          <w:rFonts w:asciiTheme="minorHAnsi" w:hAnsiTheme="minorHAnsi" w:cstheme="minorHAnsi"/>
          <w:b/>
        </w:rPr>
      </w:pPr>
      <w:r>
        <w:rPr>
          <w:rFonts w:asciiTheme="minorHAnsi" w:hAnsiTheme="minorHAnsi" w:cstheme="minorHAnsi"/>
        </w:rPr>
        <w:t>T</w:t>
      </w:r>
      <w:r w:rsidRPr="00132A89">
        <w:rPr>
          <w:rFonts w:asciiTheme="minorHAnsi" w:hAnsiTheme="minorHAnsi" w:cstheme="minorHAnsi"/>
        </w:rPr>
        <w:t>he Victorian Protective Data Security Framework</w:t>
      </w:r>
      <w:r w:rsidR="00AE5D3B">
        <w:rPr>
          <w:rFonts w:asciiTheme="minorHAnsi" w:hAnsiTheme="minorHAnsi" w:cstheme="minorHAnsi"/>
        </w:rPr>
        <w:t>,</w:t>
      </w:r>
      <w:r w:rsidRPr="00132A89">
        <w:rPr>
          <w:rFonts w:asciiTheme="minorHAnsi" w:hAnsiTheme="minorHAnsi" w:cstheme="minorHAnsi"/>
        </w:rPr>
        <w:t xml:space="preserve"> </w:t>
      </w:r>
      <w:r>
        <w:rPr>
          <w:rFonts w:asciiTheme="minorHAnsi" w:hAnsiTheme="minorHAnsi" w:cstheme="minorHAnsi"/>
        </w:rPr>
        <w:t xml:space="preserve">issued </w:t>
      </w:r>
      <w:r w:rsidR="00AE5D3B">
        <w:rPr>
          <w:rFonts w:asciiTheme="minorHAnsi" w:hAnsiTheme="minorHAnsi" w:cstheme="minorHAnsi"/>
        </w:rPr>
        <w:t xml:space="preserve">by the Information Commissioner </w:t>
      </w:r>
      <w:r w:rsidRPr="00132A89">
        <w:rPr>
          <w:rFonts w:asciiTheme="minorHAnsi" w:hAnsiTheme="minorHAnsi" w:cstheme="minorHAnsi"/>
        </w:rPr>
        <w:t xml:space="preserve">under the </w:t>
      </w:r>
      <w:r w:rsidRPr="00132A89">
        <w:rPr>
          <w:rFonts w:asciiTheme="minorHAnsi" w:hAnsiTheme="minorHAnsi" w:cstheme="minorHAnsi"/>
          <w:i/>
          <w:iCs/>
        </w:rPr>
        <w:t>Privacy and Data Protection Act 2014</w:t>
      </w:r>
      <w:r w:rsidRPr="00132A89">
        <w:rPr>
          <w:rFonts w:asciiTheme="minorHAnsi" w:hAnsiTheme="minorHAnsi" w:cstheme="minorHAnsi"/>
        </w:rPr>
        <w:t xml:space="preserve"> (Vic)</w:t>
      </w:r>
      <w:r w:rsidR="00E058B3">
        <w:rPr>
          <w:rFonts w:asciiTheme="minorHAnsi" w:hAnsiTheme="minorHAnsi" w:cstheme="minorHAnsi"/>
        </w:rPr>
        <w:t xml:space="preserve"> (</w:t>
      </w:r>
      <w:r w:rsidR="00E058B3" w:rsidRPr="00F70E61">
        <w:rPr>
          <w:b/>
          <w:bCs/>
        </w:rPr>
        <w:t>PDP Act</w:t>
      </w:r>
      <w:r w:rsidR="00E058B3">
        <w:t>),</w:t>
      </w:r>
      <w:r w:rsidR="00E058B3">
        <w:rPr>
          <w:rFonts w:asciiTheme="minorHAnsi" w:hAnsiTheme="minorHAnsi" w:cstheme="minorHAnsi"/>
        </w:rPr>
        <w:t xml:space="preserve"> </w:t>
      </w:r>
      <w:r>
        <w:rPr>
          <w:rFonts w:asciiTheme="minorHAnsi" w:hAnsiTheme="minorHAnsi" w:cstheme="minorHAnsi"/>
        </w:rPr>
        <w:t xml:space="preserve">provides a framework for the security of all public sector information. Certain </w:t>
      </w:r>
      <w:r w:rsidR="00AE5D3B">
        <w:rPr>
          <w:rFonts w:asciiTheme="minorHAnsi" w:hAnsiTheme="minorHAnsi" w:cstheme="minorHAnsi"/>
        </w:rPr>
        <w:t xml:space="preserve">Victorian public sector organisations, including departments and statutory authorities </w:t>
      </w:r>
      <w:r>
        <w:rPr>
          <w:rFonts w:asciiTheme="minorHAnsi" w:hAnsiTheme="minorHAnsi" w:cstheme="minorHAnsi"/>
        </w:rPr>
        <w:t xml:space="preserve">are required to comply with the </w:t>
      </w:r>
      <w:hyperlink r:id="rId8" w:history="1">
        <w:r w:rsidRPr="00E058B3">
          <w:rPr>
            <w:rStyle w:val="Hyperlink"/>
            <w:rFonts w:asciiTheme="minorHAnsi" w:hAnsiTheme="minorHAnsi" w:cstheme="minorHAnsi"/>
          </w:rPr>
          <w:t>Victorian Protective Data Security Framework</w:t>
        </w:r>
      </w:hyperlink>
      <w:r w:rsidR="00AE5D3B">
        <w:rPr>
          <w:rFonts w:asciiTheme="minorHAnsi" w:hAnsiTheme="minorHAnsi" w:cstheme="minorHAnsi"/>
        </w:rPr>
        <w:t>.</w:t>
      </w:r>
    </w:p>
    <w:p w14:paraId="37A777EA" w14:textId="52E873EE" w:rsidR="00AE5D3B" w:rsidRDefault="00AE5D3B">
      <w:pPr>
        <w:pStyle w:val="Body"/>
        <w:rPr>
          <w:rFonts w:asciiTheme="minorHAnsi" w:hAnsiTheme="minorHAnsi" w:cstheme="minorHAnsi"/>
        </w:rPr>
      </w:pPr>
      <w:r>
        <w:rPr>
          <w:rFonts w:asciiTheme="minorHAnsi" w:hAnsiTheme="minorHAnsi" w:cstheme="minorHAnsi"/>
        </w:rPr>
        <w:t xml:space="preserve">It </w:t>
      </w:r>
      <w:r w:rsidR="00BD6595" w:rsidRPr="00132A89">
        <w:rPr>
          <w:rFonts w:asciiTheme="minorHAnsi" w:hAnsiTheme="minorHAnsi" w:cstheme="minorHAnsi"/>
        </w:rPr>
        <w:t xml:space="preserve">requires </w:t>
      </w:r>
      <w:r>
        <w:rPr>
          <w:rFonts w:asciiTheme="minorHAnsi" w:hAnsiTheme="minorHAnsi" w:cstheme="minorHAnsi"/>
        </w:rPr>
        <w:t>relevant public sector organisations</w:t>
      </w:r>
      <w:r w:rsidRPr="00132A89">
        <w:rPr>
          <w:rFonts w:asciiTheme="minorHAnsi" w:hAnsiTheme="minorHAnsi" w:cstheme="minorHAnsi"/>
        </w:rPr>
        <w:t xml:space="preserve"> </w:t>
      </w:r>
      <w:r w:rsidR="00BD6595" w:rsidRPr="00132A89">
        <w:rPr>
          <w:rFonts w:asciiTheme="minorHAnsi" w:hAnsiTheme="minorHAnsi" w:cstheme="minorHAnsi"/>
        </w:rPr>
        <w:t xml:space="preserve">to </w:t>
      </w:r>
      <w:r>
        <w:rPr>
          <w:rFonts w:asciiTheme="minorHAnsi" w:hAnsiTheme="minorHAnsi" w:cstheme="minorHAnsi"/>
        </w:rPr>
        <w:t xml:space="preserve">identify and </w:t>
      </w:r>
      <w:r w:rsidR="00BD6595">
        <w:rPr>
          <w:rFonts w:asciiTheme="minorHAnsi" w:hAnsiTheme="minorHAnsi" w:cstheme="minorHAnsi"/>
        </w:rPr>
        <w:t>understand</w:t>
      </w:r>
      <w:r w:rsidR="00BD6595" w:rsidRPr="00132A89">
        <w:rPr>
          <w:rFonts w:asciiTheme="minorHAnsi" w:hAnsiTheme="minorHAnsi" w:cstheme="minorHAnsi"/>
        </w:rPr>
        <w:t xml:space="preserve"> their information assets</w:t>
      </w:r>
      <w:r w:rsidR="00BD6595">
        <w:rPr>
          <w:rFonts w:asciiTheme="minorHAnsi" w:hAnsiTheme="minorHAnsi" w:cstheme="minorHAnsi"/>
        </w:rPr>
        <w:t xml:space="preserve"> and maintain an information asset register</w:t>
      </w:r>
      <w:r w:rsidR="00BD6595" w:rsidRPr="00132A89">
        <w:rPr>
          <w:rFonts w:asciiTheme="minorHAnsi" w:hAnsiTheme="minorHAnsi" w:cstheme="minorHAnsi"/>
        </w:rPr>
        <w:t xml:space="preserve">. </w:t>
      </w:r>
      <w:r w:rsidR="00BD6595">
        <w:rPr>
          <w:rFonts w:asciiTheme="minorHAnsi" w:hAnsiTheme="minorHAnsi" w:cstheme="minorHAnsi"/>
        </w:rPr>
        <w:t>In other words,</w:t>
      </w:r>
      <w:r>
        <w:rPr>
          <w:rFonts w:asciiTheme="minorHAnsi" w:hAnsiTheme="minorHAnsi" w:cstheme="minorHAnsi"/>
        </w:rPr>
        <w:t xml:space="preserve"> an</w:t>
      </w:r>
      <w:r w:rsidR="00BD6595">
        <w:rPr>
          <w:rFonts w:asciiTheme="minorHAnsi" w:hAnsiTheme="minorHAnsi" w:cstheme="minorHAnsi"/>
        </w:rPr>
        <w:t xml:space="preserve"> </w:t>
      </w:r>
      <w:r>
        <w:rPr>
          <w:rFonts w:asciiTheme="minorHAnsi" w:hAnsiTheme="minorHAnsi" w:cstheme="minorHAnsi"/>
        </w:rPr>
        <w:t xml:space="preserve">information asset </w:t>
      </w:r>
      <w:r w:rsidR="00BD6595">
        <w:rPr>
          <w:rFonts w:asciiTheme="minorHAnsi" w:hAnsiTheme="minorHAnsi" w:cstheme="minorHAnsi"/>
        </w:rPr>
        <w:t xml:space="preserve">register </w:t>
      </w:r>
      <w:r>
        <w:rPr>
          <w:rFonts w:asciiTheme="minorHAnsi" w:hAnsiTheme="minorHAnsi" w:cstheme="minorHAnsi"/>
        </w:rPr>
        <w:t xml:space="preserve">provides a complete record </w:t>
      </w:r>
      <w:r w:rsidR="00BD6595">
        <w:rPr>
          <w:rFonts w:asciiTheme="minorHAnsi" w:hAnsiTheme="minorHAnsi" w:cstheme="minorHAnsi"/>
        </w:rPr>
        <w:t xml:space="preserve">of </w:t>
      </w:r>
      <w:r>
        <w:rPr>
          <w:rFonts w:asciiTheme="minorHAnsi" w:hAnsiTheme="minorHAnsi" w:cstheme="minorHAnsi"/>
        </w:rPr>
        <w:t>an</w:t>
      </w:r>
      <w:r w:rsidR="00BD6595">
        <w:rPr>
          <w:rFonts w:asciiTheme="minorHAnsi" w:hAnsiTheme="minorHAnsi" w:cstheme="minorHAnsi"/>
        </w:rPr>
        <w:t xml:space="preserve"> </w:t>
      </w:r>
      <w:r>
        <w:rPr>
          <w:rFonts w:asciiTheme="minorHAnsi" w:hAnsiTheme="minorHAnsi" w:cstheme="minorHAnsi"/>
        </w:rPr>
        <w:t xml:space="preserve">agency’s entire </w:t>
      </w:r>
      <w:r w:rsidR="00313B28">
        <w:rPr>
          <w:rFonts w:asciiTheme="minorHAnsi" w:hAnsiTheme="minorHAnsi" w:cstheme="minorHAnsi"/>
        </w:rPr>
        <w:t>information holdings.</w:t>
      </w:r>
      <w:r w:rsidR="00BD6595">
        <w:rPr>
          <w:rFonts w:asciiTheme="minorHAnsi" w:hAnsiTheme="minorHAnsi" w:cstheme="minorHAnsi"/>
        </w:rPr>
        <w:t xml:space="preserve"> </w:t>
      </w:r>
    </w:p>
    <w:p w14:paraId="39E9D6D3" w14:textId="70AD7582" w:rsidR="00BD6595" w:rsidRPr="00E058B3" w:rsidRDefault="00AE5D3B">
      <w:pPr>
        <w:pStyle w:val="Body"/>
        <w:rPr>
          <w:rFonts w:asciiTheme="minorHAnsi" w:hAnsiTheme="minorHAnsi" w:cstheme="minorHAnsi"/>
        </w:rPr>
      </w:pPr>
      <w:r>
        <w:rPr>
          <w:rFonts w:asciiTheme="minorHAnsi" w:hAnsiTheme="minorHAnsi" w:cstheme="minorHAnsi"/>
        </w:rPr>
        <w:t xml:space="preserve">Accordingly, the </w:t>
      </w:r>
      <w:r w:rsidR="00765090">
        <w:rPr>
          <w:rFonts w:asciiTheme="minorHAnsi" w:hAnsiTheme="minorHAnsi" w:cstheme="minorHAnsi"/>
        </w:rPr>
        <w:t xml:space="preserve">requirements under the </w:t>
      </w:r>
      <w:r w:rsidRPr="00132A89">
        <w:rPr>
          <w:rFonts w:asciiTheme="minorHAnsi" w:hAnsiTheme="minorHAnsi" w:cstheme="minorHAnsi"/>
        </w:rPr>
        <w:t>Victorian Protective Data Security Framework</w:t>
      </w:r>
      <w:r>
        <w:rPr>
          <w:rFonts w:asciiTheme="minorHAnsi" w:hAnsiTheme="minorHAnsi" w:cstheme="minorHAnsi"/>
        </w:rPr>
        <w:t xml:space="preserve"> complement</w:t>
      </w:r>
      <w:r w:rsidR="00765090">
        <w:rPr>
          <w:rFonts w:asciiTheme="minorHAnsi" w:hAnsiTheme="minorHAnsi" w:cstheme="minorHAnsi"/>
        </w:rPr>
        <w:t xml:space="preserve"> those under</w:t>
      </w:r>
      <w:r w:rsidRPr="00132A89">
        <w:rPr>
          <w:rFonts w:asciiTheme="minorHAnsi" w:hAnsiTheme="minorHAnsi" w:cstheme="minorHAnsi"/>
        </w:rPr>
        <w:t xml:space="preserve"> Part II of the Act</w:t>
      </w:r>
      <w:r>
        <w:rPr>
          <w:rFonts w:asciiTheme="minorHAnsi" w:hAnsiTheme="minorHAnsi" w:cstheme="minorHAnsi"/>
        </w:rPr>
        <w:t>,</w:t>
      </w:r>
      <w:r w:rsidRPr="00132A89">
        <w:rPr>
          <w:rFonts w:asciiTheme="minorHAnsi" w:hAnsiTheme="minorHAnsi" w:cstheme="minorHAnsi"/>
        </w:rPr>
        <w:t xml:space="preserve"> as it</w:t>
      </w:r>
      <w:r w:rsidR="00BD6595" w:rsidRPr="00132A89">
        <w:rPr>
          <w:rFonts w:asciiTheme="minorHAnsi" w:hAnsiTheme="minorHAnsi" w:cstheme="minorHAnsi"/>
        </w:rPr>
        <w:t xml:space="preserve"> involves</w:t>
      </w:r>
      <w:r>
        <w:rPr>
          <w:rFonts w:asciiTheme="minorHAnsi" w:hAnsiTheme="minorHAnsi" w:cstheme="minorHAnsi"/>
        </w:rPr>
        <w:t xml:space="preserve"> an agency</w:t>
      </w:r>
      <w:r w:rsidR="00BD6595" w:rsidRPr="00132A89">
        <w:rPr>
          <w:rFonts w:asciiTheme="minorHAnsi" w:hAnsiTheme="minorHAnsi" w:cstheme="minorHAnsi"/>
        </w:rPr>
        <w:t xml:space="preserve"> identifying information assets that may be appropriate for public release</w:t>
      </w:r>
      <w:r>
        <w:rPr>
          <w:rFonts w:asciiTheme="minorHAnsi" w:hAnsiTheme="minorHAnsi" w:cstheme="minorHAnsi"/>
        </w:rPr>
        <w:t xml:space="preserve">, which provides assistance to agencies in meeting their obligations under </w:t>
      </w:r>
      <w:r w:rsidR="00BD6595" w:rsidRPr="00132A89">
        <w:rPr>
          <w:rFonts w:asciiTheme="minorHAnsi" w:hAnsiTheme="minorHAnsi" w:cstheme="minorHAnsi"/>
        </w:rPr>
        <w:t>Part II of the Act</w:t>
      </w:r>
      <w:r w:rsidR="00E058B3">
        <w:rPr>
          <w:rFonts w:asciiTheme="minorHAnsi" w:hAnsiTheme="minorHAnsi" w:cstheme="minorHAnsi"/>
        </w:rPr>
        <w:t>.</w:t>
      </w:r>
    </w:p>
    <w:p w14:paraId="472E22F0" w14:textId="085722BF" w:rsidR="007B32C9" w:rsidRDefault="007B32C9">
      <w:pPr>
        <w:pStyle w:val="Heading-1"/>
      </w:pPr>
      <w:r>
        <w:t>Considerations for proactive release</w:t>
      </w:r>
    </w:p>
    <w:p w14:paraId="015C36D1" w14:textId="4981F802" w:rsidR="00172A22" w:rsidRDefault="00172A22" w:rsidP="00172A22">
      <w:pPr>
        <w:pStyle w:val="Body"/>
      </w:pPr>
      <w:r>
        <w:t xml:space="preserve">When considering whether information or </w:t>
      </w:r>
      <w:r w:rsidR="00313B28">
        <w:t xml:space="preserve">a </w:t>
      </w:r>
      <w:r>
        <w:t xml:space="preserve">document should be </w:t>
      </w:r>
      <w:r w:rsidR="00AF15B5">
        <w:t xml:space="preserve">proactively </w:t>
      </w:r>
      <w:r>
        <w:t xml:space="preserve">released, agencies may have regard to factors, </w:t>
      </w:r>
      <w:r w:rsidR="00AF15B5">
        <w:t>including</w:t>
      </w:r>
      <w:r>
        <w:t>:</w:t>
      </w:r>
    </w:p>
    <w:p w14:paraId="38D56E1E" w14:textId="6460F559" w:rsidR="00B6701A" w:rsidRPr="00E058B3" w:rsidRDefault="00445BAB" w:rsidP="00E058B3">
      <w:pPr>
        <w:pStyle w:val="Heading-2"/>
        <w:spacing w:after="60"/>
      </w:pPr>
      <w:r w:rsidRPr="00E058B3">
        <w:t>Common information requests</w:t>
      </w:r>
    </w:p>
    <w:p w14:paraId="1BC6B91C" w14:textId="7380257C" w:rsidR="00445BAB" w:rsidRPr="00040AA3" w:rsidRDefault="00445BAB" w:rsidP="00E058B3">
      <w:pPr>
        <w:pStyle w:val="Body"/>
        <w:rPr>
          <w:bCs/>
        </w:rPr>
      </w:pPr>
      <w:r>
        <w:rPr>
          <w:bCs/>
        </w:rPr>
        <w:t>W</w:t>
      </w:r>
      <w:r w:rsidRPr="00040AA3">
        <w:rPr>
          <w:bCs/>
        </w:rPr>
        <w:t>hether there have been repeated requests for the same type of information or document, indicating that it may be of general interest to the public and should be made publicly available.</w:t>
      </w:r>
    </w:p>
    <w:p w14:paraId="08559BF4" w14:textId="77777777" w:rsidR="00B6701A" w:rsidRDefault="00445BAB" w:rsidP="00E058B3">
      <w:pPr>
        <w:pStyle w:val="Body"/>
        <w:spacing w:after="60"/>
        <w:rPr>
          <w:b/>
        </w:rPr>
      </w:pPr>
      <w:r w:rsidRPr="00E058B3">
        <w:rPr>
          <w:b/>
        </w:rPr>
        <w:t>Privacy</w:t>
      </w:r>
    </w:p>
    <w:p w14:paraId="727D1908" w14:textId="10A128B4" w:rsidR="00445BAB" w:rsidRDefault="0093355C" w:rsidP="00E058B3">
      <w:pPr>
        <w:pStyle w:val="Body"/>
      </w:pPr>
      <w:r>
        <w:t>A</w:t>
      </w:r>
      <w:r w:rsidR="00445BAB">
        <w:t>gencies should consider the Information Privacy Principles under</w:t>
      </w:r>
      <w:r w:rsidR="00E058B3">
        <w:t xml:space="preserve"> the PDP Act</w:t>
      </w:r>
      <w:r w:rsidR="00445BAB">
        <w:t xml:space="preserve">, and ensure they have the authority under the PDP Act or other legislation to </w:t>
      </w:r>
      <w:r>
        <w:t xml:space="preserve">proactively </w:t>
      </w:r>
      <w:r w:rsidR="00445BAB">
        <w:t xml:space="preserve">release or publish any personal information. In most instances documents containing personal information will not be appropriate for proactive release unless there is a legislative requirement for it to be published. </w:t>
      </w:r>
    </w:p>
    <w:p w14:paraId="16D5A7A6" w14:textId="77777777" w:rsidR="00B6701A" w:rsidRDefault="00445BAB" w:rsidP="00E058B3">
      <w:pPr>
        <w:pStyle w:val="Body"/>
        <w:spacing w:after="60"/>
      </w:pPr>
      <w:r w:rsidRPr="00E058B3">
        <w:rPr>
          <w:b/>
        </w:rPr>
        <w:t>Restrictions on release</w:t>
      </w:r>
    </w:p>
    <w:p w14:paraId="1921D999" w14:textId="2249FC35" w:rsidR="00445BAB" w:rsidRDefault="00445BAB" w:rsidP="00E058B3">
      <w:pPr>
        <w:pStyle w:val="Body"/>
      </w:pPr>
      <w:r>
        <w:t>A</w:t>
      </w:r>
      <w:r w:rsidR="00172A22">
        <w:t xml:space="preserve">ny statutory secrecy provisions </w:t>
      </w:r>
      <w:r>
        <w:t xml:space="preserve">or other restrictions (for example a court order) </w:t>
      </w:r>
      <w:r w:rsidR="00172A22">
        <w:t>that may prevent the release of the information</w:t>
      </w:r>
      <w:r>
        <w:t xml:space="preserve"> or document.</w:t>
      </w:r>
    </w:p>
    <w:p w14:paraId="33BAEBE2" w14:textId="72D128DF" w:rsidR="00B6701A" w:rsidRDefault="00445BAB" w:rsidP="00E058B3">
      <w:pPr>
        <w:pStyle w:val="Heading-2"/>
        <w:spacing w:after="60"/>
      </w:pPr>
      <w:r>
        <w:t>Unconditional use</w:t>
      </w:r>
    </w:p>
    <w:p w14:paraId="527062BE" w14:textId="32067376" w:rsidR="00445BAB" w:rsidRPr="00AF15B5" w:rsidRDefault="00445BAB" w:rsidP="00E058B3">
      <w:pPr>
        <w:pStyle w:val="Heading-2"/>
      </w:pPr>
      <w:r w:rsidRPr="00E058B3">
        <w:rPr>
          <w:b w:val="0"/>
        </w:rPr>
        <w:t xml:space="preserve">Documents released under the Act are released without any conditions or restrictions on their future use or further dissemination. Similarly, the Act does not impose limits on how documents or information proactively released may be used. Agencies should keep this in mind when considering proactive release.  </w:t>
      </w:r>
    </w:p>
    <w:p w14:paraId="2CCD0A32" w14:textId="77777777" w:rsidR="00B6701A" w:rsidRDefault="00445BAB" w:rsidP="00E058B3">
      <w:pPr>
        <w:pStyle w:val="Body"/>
        <w:spacing w:after="60"/>
      </w:pPr>
      <w:r w:rsidRPr="00E058B3">
        <w:rPr>
          <w:b/>
        </w:rPr>
        <w:t>Protection from liability</w:t>
      </w:r>
    </w:p>
    <w:p w14:paraId="573AEEB5" w14:textId="75A5CEA7" w:rsidR="00445BAB" w:rsidRDefault="00445BAB" w:rsidP="00E058B3">
      <w:pPr>
        <w:pStyle w:val="Body"/>
      </w:pPr>
      <w:bookmarkStart w:id="1" w:name="_Hlk21085071"/>
      <w:r>
        <w:t>The protections against defamation or breach of confidence</w:t>
      </w:r>
      <w:r w:rsidR="00B6701A">
        <w:t xml:space="preserve"> </w:t>
      </w:r>
      <w:r>
        <w:t xml:space="preserve">under section 62 do not apply </w:t>
      </w:r>
      <w:r w:rsidR="00C92028">
        <w:t>to</w:t>
      </w:r>
      <w:r>
        <w:t xml:space="preserve"> proactive release</w:t>
      </w:r>
      <w:r w:rsidR="00C92028">
        <w:t xml:space="preserve"> outside the Act</w:t>
      </w:r>
      <w:r>
        <w:t>. However, this should not be seen as a barrier to the proactive release as these protections do not have general application and will only apply when relevant.</w:t>
      </w:r>
    </w:p>
    <w:bookmarkEnd w:id="1"/>
    <w:p w14:paraId="543F4B24" w14:textId="154FBDF9" w:rsidR="00B6701A" w:rsidRDefault="003D2E38" w:rsidP="00E058B3">
      <w:pPr>
        <w:pStyle w:val="Body"/>
        <w:spacing w:after="60"/>
      </w:pPr>
      <w:r>
        <w:rPr>
          <w:b/>
        </w:rPr>
        <w:t>D</w:t>
      </w:r>
      <w:r w:rsidR="00445BAB" w:rsidRPr="00E058B3">
        <w:rPr>
          <w:b/>
        </w:rPr>
        <w:t>isclosure policy</w:t>
      </w:r>
    </w:p>
    <w:p w14:paraId="38BB04AD" w14:textId="2534585F" w:rsidR="00445BAB" w:rsidRDefault="003D2E38" w:rsidP="00E058B3">
      <w:pPr>
        <w:pStyle w:val="Body"/>
      </w:pPr>
      <w:r>
        <w:t xml:space="preserve">It is recommended agencies develop an information and document disclosure policy to assist agency staff to efficiently and securely identify categories or types of information or documents that are authorised by the agency to be released outside the Act. </w:t>
      </w:r>
    </w:p>
    <w:p w14:paraId="7F194601" w14:textId="77777777" w:rsidR="005754AC" w:rsidRPr="00E606BA" w:rsidRDefault="005754AC" w:rsidP="00D77B3C">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545459"/>
          <w:sz w:val="18"/>
          <w:szCs w:val="18"/>
          <w:lang w:val="en-AU"/>
        </w:rPr>
      </w:pPr>
      <w:r w:rsidRPr="00E606BA">
        <w:rPr>
          <w:rFonts w:asciiTheme="minorHAnsi" w:hAnsiTheme="minorHAnsi" w:cstheme="minorHAnsi"/>
          <w:b/>
          <w:color w:val="55565A"/>
          <w:sz w:val="18"/>
          <w:szCs w:val="18"/>
          <w:lang w:val="en-AU"/>
        </w:rPr>
        <w:t xml:space="preserve">Disclaimer: </w:t>
      </w:r>
      <w:r w:rsidRPr="00E606BA">
        <w:rPr>
          <w:rFonts w:asciiTheme="minorHAnsi" w:hAnsiTheme="minorHAnsi" w:cstheme="minorHAnsi"/>
          <w:color w:val="545459"/>
          <w:sz w:val="18"/>
          <w:szCs w:val="18"/>
          <w:lang w:val="en-AU"/>
        </w:rPr>
        <w:t>The information in this document is general in nature and does not constitute legal advice.</w:t>
      </w:r>
    </w:p>
    <w:p w14:paraId="079F8E0D" w14:textId="4EA18154" w:rsidR="005754AC" w:rsidRPr="00E606BA" w:rsidRDefault="005754AC" w:rsidP="005754AC">
      <w:pPr>
        <w:widowControl w:val="0"/>
        <w:tabs>
          <w:tab w:val="left" w:pos="284"/>
          <w:tab w:val="left" w:pos="709"/>
        </w:tabs>
        <w:suppressAutoHyphens/>
        <w:autoSpaceDE w:val="0"/>
        <w:autoSpaceDN w:val="0"/>
        <w:adjustRightInd w:val="0"/>
        <w:spacing w:after="120"/>
        <w:textAlignment w:val="center"/>
        <w:rPr>
          <w:rFonts w:asciiTheme="minorHAnsi" w:hAnsiTheme="minorHAnsi" w:cstheme="minorHAnsi"/>
          <w:color w:val="545459"/>
          <w:sz w:val="18"/>
          <w:szCs w:val="18"/>
          <w:lang w:val="en-AU"/>
        </w:rPr>
      </w:pPr>
      <w:r w:rsidRPr="00E606BA">
        <w:rPr>
          <w:rFonts w:asciiTheme="minorHAnsi" w:hAnsiTheme="minorHAnsi" w:cstheme="minorHAnsi"/>
          <w:b/>
          <w:bCs/>
          <w:color w:val="545459"/>
          <w:sz w:val="18"/>
          <w:szCs w:val="18"/>
          <w:lang w:val="en-AU"/>
        </w:rPr>
        <w:t>Version:</w:t>
      </w:r>
      <w:r w:rsidRPr="00E606BA">
        <w:rPr>
          <w:rFonts w:asciiTheme="minorHAnsi" w:hAnsiTheme="minorHAnsi" w:cstheme="minorHAnsi"/>
          <w:color w:val="545459"/>
          <w:sz w:val="18"/>
          <w:szCs w:val="18"/>
          <w:lang w:val="en-AU"/>
        </w:rPr>
        <w:t xml:space="preserve"> </w:t>
      </w:r>
      <w:r w:rsidR="006F5644">
        <w:rPr>
          <w:rFonts w:asciiTheme="minorHAnsi" w:hAnsiTheme="minorHAnsi" w:cstheme="minorHAnsi"/>
          <w:color w:val="545459"/>
          <w:sz w:val="18"/>
          <w:szCs w:val="18"/>
          <w:lang w:val="en-AU"/>
        </w:rPr>
        <w:t xml:space="preserve">December </w:t>
      </w:r>
      <w:r w:rsidR="00E606BA" w:rsidRPr="00E606BA">
        <w:rPr>
          <w:rFonts w:asciiTheme="minorHAnsi" w:hAnsiTheme="minorHAnsi" w:cstheme="minorHAnsi"/>
          <w:color w:val="545459"/>
          <w:sz w:val="18"/>
          <w:szCs w:val="18"/>
          <w:lang w:val="en-AU"/>
        </w:rPr>
        <w:t>2019</w:t>
      </w:r>
      <w:r w:rsidR="006F5644">
        <w:rPr>
          <w:rFonts w:asciiTheme="minorHAnsi" w:hAnsiTheme="minorHAnsi" w:cstheme="minorHAnsi"/>
          <w:color w:val="545459"/>
          <w:sz w:val="18"/>
          <w:szCs w:val="18"/>
          <w:lang w:val="en-AU"/>
        </w:rPr>
        <w:t xml:space="preserve"> – D19/8751</w:t>
      </w:r>
    </w:p>
    <w:sectPr w:rsidR="005754AC" w:rsidRPr="00E606BA" w:rsidSect="005754AC">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0C4B6" w14:textId="77777777" w:rsidR="00D90718" w:rsidRDefault="00D90718" w:rsidP="00B53C78">
      <w:r>
        <w:separator/>
      </w:r>
    </w:p>
  </w:endnote>
  <w:endnote w:type="continuationSeparator" w:id="0">
    <w:p w14:paraId="1AB23381" w14:textId="77777777" w:rsidR="00D90718" w:rsidRDefault="00D90718"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3930" w14:textId="77777777" w:rsidR="00467746" w:rsidRDefault="00467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0786" w14:textId="466E1553"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sidR="00C54631">
      <w:rPr>
        <w:rFonts w:cs="Arial"/>
        <w:noProof/>
        <w:sz w:val="18"/>
        <w:szCs w:val="22"/>
      </w:rPr>
      <w:t>3</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sidR="00C54631">
      <w:rPr>
        <w:rFonts w:cs="Arial"/>
        <w:noProof/>
        <w:sz w:val="18"/>
        <w:szCs w:val="22"/>
      </w:rPr>
      <w:t>3</w:t>
    </w:r>
    <w:r w:rsidRPr="008C301D">
      <w:rPr>
        <w:rFonts w:cs="Arial"/>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D61C" w14:textId="61D5D58C"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sidR="00C92028">
      <w:rPr>
        <w:rFonts w:cs="Arial"/>
        <w:noProof/>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sidR="00C92028">
      <w:rPr>
        <w:rFonts w:cs="Arial"/>
        <w:noProof/>
        <w:sz w:val="18"/>
        <w:szCs w:val="22"/>
      </w:rPr>
      <w:t>3</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10806" w14:textId="77777777" w:rsidR="00D90718" w:rsidRPr="002330E8" w:rsidRDefault="00D90718">
      <w:pPr>
        <w:rPr>
          <w:color w:val="55565A"/>
          <w:sz w:val="22"/>
          <w:szCs w:val="22"/>
        </w:rPr>
      </w:pPr>
      <w:r w:rsidRPr="002330E8">
        <w:rPr>
          <w:color w:val="55565A"/>
          <w:sz w:val="22"/>
          <w:szCs w:val="22"/>
        </w:rPr>
        <w:separator/>
      </w:r>
    </w:p>
  </w:footnote>
  <w:footnote w:type="continuationSeparator" w:id="0">
    <w:p w14:paraId="3D3F27A4" w14:textId="77777777" w:rsidR="00D90718" w:rsidRDefault="00D90718" w:rsidP="00B53C78">
      <w:r>
        <w:continuationSeparator/>
      </w:r>
    </w:p>
  </w:footnote>
  <w:footnote w:type="continuationNotice" w:id="1">
    <w:p w14:paraId="521C56E2" w14:textId="77777777" w:rsidR="00D90718" w:rsidRDefault="00D907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B4A4" w14:textId="6D880D25" w:rsidR="00561877" w:rsidRDefault="00561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7172" w14:textId="176D2421" w:rsidR="00561877" w:rsidRDefault="00561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CFE3" w14:textId="5C636E37" w:rsidR="005754AC" w:rsidRPr="00D0311E"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8"/>
        <w:szCs w:val="18"/>
      </w:rPr>
    </w:pPr>
    <w:r>
      <w:rPr>
        <w:noProof/>
        <w:color w:val="7F7F7F"/>
        <w:sz w:val="28"/>
        <w:szCs w:val="28"/>
        <w:lang w:val="en-AU" w:eastAsia="en-AU"/>
      </w:rPr>
      <w:drawing>
        <wp:anchor distT="0" distB="0" distL="114300" distR="114300" simplePos="0" relativeHeight="251659264" behindDoc="1" locked="0" layoutInCell="1" allowOverlap="1" wp14:anchorId="70977FCE" wp14:editId="7F0EEFFA">
          <wp:simplePos x="0" y="0"/>
          <wp:positionH relativeFrom="column">
            <wp:posOffset>-2116</wp:posOffset>
          </wp:positionH>
          <wp:positionV relativeFrom="paragraph">
            <wp:posOffset>3175</wp:posOffset>
          </wp:positionV>
          <wp:extent cx="1252570" cy="576000"/>
          <wp:effectExtent l="0" t="0" r="5080" b="0"/>
          <wp:wrapThrough wrapText="bothSides">
            <wp:wrapPolygon edited="0">
              <wp:start x="0" y="0"/>
              <wp:lineTo x="0" y="20957"/>
              <wp:lineTo x="21469" y="20957"/>
              <wp:lineTo x="21469"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57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r w:rsidR="00D0311E" w:rsidRPr="000E4EA8">
      <w:rPr>
        <w:rFonts w:asciiTheme="minorHAnsi" w:hAnsiTheme="minorHAnsi" w:cstheme="minorHAnsi"/>
        <w:color w:val="55565A"/>
        <w:sz w:val="18"/>
        <w:szCs w:val="18"/>
      </w:rPr>
      <w:t>Agency Practice Note</w:t>
    </w:r>
    <w:r w:rsidR="001961F8">
      <w:rPr>
        <w:rFonts w:asciiTheme="minorHAnsi" w:hAnsiTheme="minorHAnsi" w:cstheme="minorHAnsi"/>
        <w:color w:val="55565A"/>
        <w:sz w:val="18"/>
        <w:szCs w:val="18"/>
      </w:rPr>
      <w:t xml:space="preserve"> 2</w:t>
    </w:r>
  </w:p>
  <w:p w14:paraId="6DCE1E0A" w14:textId="77777777" w:rsidR="005754AC" w:rsidRPr="008C301D" w:rsidRDefault="005754AC"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8"/>
        <w:szCs w:val="18"/>
      </w:rPr>
    </w:pPr>
    <w:r w:rsidRPr="008C301D">
      <w:rPr>
        <w:rFonts w:asciiTheme="minorHAnsi" w:hAnsiTheme="minorHAnsi" w:cstheme="minorHAnsi"/>
        <w:color w:val="430098"/>
        <w:sz w:val="18"/>
        <w:szCs w:val="18"/>
      </w:rPr>
      <w:t>Freedom of Information</w:t>
    </w:r>
  </w:p>
  <w:p w14:paraId="17635906" w14:textId="77777777" w:rsidR="005754AC" w:rsidRDefault="005754AC" w:rsidP="005754AC">
    <w:pPr>
      <w:pStyle w:val="Header"/>
      <w:tabs>
        <w:tab w:val="clear" w:pos="4513"/>
        <w:tab w:val="left" w:pos="5245"/>
      </w:tabs>
      <w:spacing w:after="200"/>
      <w:ind w:right="-6"/>
      <w:jc w:val="right"/>
      <w:rPr>
        <w:rFonts w:asciiTheme="minorHAnsi" w:hAnsiTheme="minorHAnsi" w:cstheme="minorHAnsi"/>
        <w:color w:val="555559"/>
        <w:sz w:val="18"/>
        <w:szCs w:val="18"/>
      </w:rPr>
    </w:pPr>
    <w:r w:rsidRPr="008C301D">
      <w:rPr>
        <w:rFonts w:asciiTheme="minorHAnsi" w:hAnsiTheme="minorHAnsi" w:cstheme="minorHAnsi"/>
        <w:color w:val="7F7F7F"/>
        <w:sz w:val="18"/>
        <w:szCs w:val="18"/>
      </w:rPr>
      <w:tab/>
    </w:r>
    <w:r w:rsidRPr="008C301D">
      <w:rPr>
        <w:rFonts w:asciiTheme="minorHAnsi" w:hAnsiTheme="minorHAnsi" w:cstheme="minorHAnsi"/>
        <w:color w:val="555559"/>
        <w:sz w:val="18"/>
        <w:szCs w:val="18"/>
      </w:rPr>
      <w:t>ovic.vic.gov.au |</w:t>
    </w:r>
    <w:r>
      <w:rPr>
        <w:rFonts w:asciiTheme="minorHAnsi" w:hAnsiTheme="minorHAnsi" w:cstheme="minorHAnsi"/>
        <w:color w:val="555559"/>
        <w:sz w:val="18"/>
        <w:szCs w:val="18"/>
      </w:rPr>
      <w:t xml:space="preserve"> </w:t>
    </w:r>
    <w:r w:rsidRPr="008C301D">
      <w:rPr>
        <w:rFonts w:asciiTheme="minorHAnsi" w:hAnsiTheme="minorHAnsi" w:cstheme="minorHAnsi"/>
        <w:color w:val="7F7F7F"/>
        <w:sz w:val="18"/>
        <w:szCs w:val="18"/>
      </w:rPr>
      <w:tab/>
    </w:r>
    <w:r w:rsidRPr="00D0311E">
      <w:rPr>
        <w:rFonts w:asciiTheme="minorHAnsi" w:hAnsiTheme="minorHAnsi" w:cstheme="minorHAnsi"/>
        <w:color w:val="55565A"/>
        <w:sz w:val="18"/>
        <w:szCs w:val="18"/>
      </w:rPr>
      <w:t>enquiries</w:t>
    </w:r>
    <w:r w:rsidRPr="008C301D">
      <w:rPr>
        <w:rFonts w:asciiTheme="minorHAnsi" w:hAnsiTheme="minorHAnsi" w:cstheme="minorHAnsi"/>
        <w:color w:val="55565A"/>
        <w:sz w:val="18"/>
        <w:szCs w:val="18"/>
      </w:rPr>
      <w:t>@ovic.vic.gov.au</w:t>
    </w:r>
    <w:r w:rsidRPr="008C301D">
      <w:rPr>
        <w:rFonts w:asciiTheme="minorHAnsi" w:hAnsiTheme="minorHAnsi" w:cstheme="minorHAnsi"/>
        <w:color w:val="555559"/>
        <w:sz w:val="18"/>
        <w:szCs w:val="18"/>
      </w:rPr>
      <w:t xml:space="preserve"> | 1300 006 842</w:t>
    </w:r>
  </w:p>
  <w:p w14:paraId="595B0A87"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7B194A9E" wp14:editId="145098E5">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E275FF"/>
    <w:multiLevelType w:val="hybridMultilevel"/>
    <w:tmpl w:val="26F2612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4C849F7"/>
    <w:multiLevelType w:val="hybridMultilevel"/>
    <w:tmpl w:val="8EA0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D803E6"/>
    <w:multiLevelType w:val="hybridMultilevel"/>
    <w:tmpl w:val="F0046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20"/>
  </w:num>
  <w:num w:numId="5">
    <w:abstractNumId w:val="15"/>
  </w:num>
  <w:num w:numId="6">
    <w:abstractNumId w:val="19"/>
  </w:num>
  <w:num w:numId="7">
    <w:abstractNumId w:val="7"/>
  </w:num>
  <w:num w:numId="8">
    <w:abstractNumId w:val="10"/>
  </w:num>
  <w:num w:numId="9">
    <w:abstractNumId w:val="0"/>
  </w:num>
  <w:num w:numId="10">
    <w:abstractNumId w:val="6"/>
  </w:num>
  <w:num w:numId="11">
    <w:abstractNumId w:val="18"/>
  </w:num>
  <w:num w:numId="12">
    <w:abstractNumId w:val="3"/>
  </w:num>
  <w:num w:numId="13">
    <w:abstractNumId w:val="14"/>
  </w:num>
  <w:num w:numId="14">
    <w:abstractNumId w:val="1"/>
  </w:num>
  <w:num w:numId="15">
    <w:abstractNumId w:val="16"/>
  </w:num>
  <w:num w:numId="16">
    <w:abstractNumId w:val="13"/>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91"/>
    <w:rsid w:val="00001D44"/>
    <w:rsid w:val="00015676"/>
    <w:rsid w:val="00044728"/>
    <w:rsid w:val="00056BCA"/>
    <w:rsid w:val="000578D1"/>
    <w:rsid w:val="00064688"/>
    <w:rsid w:val="00074602"/>
    <w:rsid w:val="00077961"/>
    <w:rsid w:val="00091CB4"/>
    <w:rsid w:val="000C09CC"/>
    <w:rsid w:val="000C3CE2"/>
    <w:rsid w:val="000E4EA8"/>
    <w:rsid w:val="000E6D30"/>
    <w:rsid w:val="000E7FAE"/>
    <w:rsid w:val="000F3A12"/>
    <w:rsid w:val="001159CB"/>
    <w:rsid w:val="00122D94"/>
    <w:rsid w:val="0012374C"/>
    <w:rsid w:val="0012528D"/>
    <w:rsid w:val="0013697F"/>
    <w:rsid w:val="00164A42"/>
    <w:rsid w:val="00172A22"/>
    <w:rsid w:val="00173F40"/>
    <w:rsid w:val="0017786A"/>
    <w:rsid w:val="0019036B"/>
    <w:rsid w:val="001961F8"/>
    <w:rsid w:val="001967FD"/>
    <w:rsid w:val="001B0F91"/>
    <w:rsid w:val="001C6E4B"/>
    <w:rsid w:val="001F3917"/>
    <w:rsid w:val="00207297"/>
    <w:rsid w:val="002330E8"/>
    <w:rsid w:val="0024071F"/>
    <w:rsid w:val="0025217E"/>
    <w:rsid w:val="00252833"/>
    <w:rsid w:val="00261684"/>
    <w:rsid w:val="00293DDA"/>
    <w:rsid w:val="002A48A0"/>
    <w:rsid w:val="002A68D9"/>
    <w:rsid w:val="002B614D"/>
    <w:rsid w:val="002E6FF1"/>
    <w:rsid w:val="003020DA"/>
    <w:rsid w:val="00305D40"/>
    <w:rsid w:val="0031042D"/>
    <w:rsid w:val="00313B28"/>
    <w:rsid w:val="00317E79"/>
    <w:rsid w:val="00320B70"/>
    <w:rsid w:val="00322784"/>
    <w:rsid w:val="00326E58"/>
    <w:rsid w:val="00330030"/>
    <w:rsid w:val="0034513D"/>
    <w:rsid w:val="0034520D"/>
    <w:rsid w:val="00345731"/>
    <w:rsid w:val="0035211D"/>
    <w:rsid w:val="00357041"/>
    <w:rsid w:val="00370F3D"/>
    <w:rsid w:val="00372C3E"/>
    <w:rsid w:val="00384F15"/>
    <w:rsid w:val="0039378A"/>
    <w:rsid w:val="003A0F3A"/>
    <w:rsid w:val="003A7085"/>
    <w:rsid w:val="003C6D10"/>
    <w:rsid w:val="003D2E38"/>
    <w:rsid w:val="00406248"/>
    <w:rsid w:val="0041450B"/>
    <w:rsid w:val="0042061F"/>
    <w:rsid w:val="00421E04"/>
    <w:rsid w:val="00424309"/>
    <w:rsid w:val="0043156F"/>
    <w:rsid w:val="00436C00"/>
    <w:rsid w:val="00445BAB"/>
    <w:rsid w:val="00453B44"/>
    <w:rsid w:val="004634A1"/>
    <w:rsid w:val="00465B05"/>
    <w:rsid w:val="00466932"/>
    <w:rsid w:val="00467746"/>
    <w:rsid w:val="00470E39"/>
    <w:rsid w:val="0047248D"/>
    <w:rsid w:val="00476315"/>
    <w:rsid w:val="004A33DA"/>
    <w:rsid w:val="004A6107"/>
    <w:rsid w:val="004D1C82"/>
    <w:rsid w:val="004D4448"/>
    <w:rsid w:val="00502CD1"/>
    <w:rsid w:val="005178FE"/>
    <w:rsid w:val="00542947"/>
    <w:rsid w:val="00555602"/>
    <w:rsid w:val="00561877"/>
    <w:rsid w:val="005754AC"/>
    <w:rsid w:val="005870C5"/>
    <w:rsid w:val="005940D4"/>
    <w:rsid w:val="005A49D0"/>
    <w:rsid w:val="005D01F3"/>
    <w:rsid w:val="005D3E8A"/>
    <w:rsid w:val="005D4022"/>
    <w:rsid w:val="005F1F9E"/>
    <w:rsid w:val="006120B5"/>
    <w:rsid w:val="00620FD8"/>
    <w:rsid w:val="00635E9F"/>
    <w:rsid w:val="006511C1"/>
    <w:rsid w:val="00652D6F"/>
    <w:rsid w:val="00662FFB"/>
    <w:rsid w:val="0066547B"/>
    <w:rsid w:val="006713D1"/>
    <w:rsid w:val="00674485"/>
    <w:rsid w:val="006876B7"/>
    <w:rsid w:val="006B1C0F"/>
    <w:rsid w:val="006F5644"/>
    <w:rsid w:val="007140E5"/>
    <w:rsid w:val="00717657"/>
    <w:rsid w:val="00723ACA"/>
    <w:rsid w:val="00760DDC"/>
    <w:rsid w:val="00765090"/>
    <w:rsid w:val="00765158"/>
    <w:rsid w:val="00776737"/>
    <w:rsid w:val="00780584"/>
    <w:rsid w:val="007862E0"/>
    <w:rsid w:val="00786837"/>
    <w:rsid w:val="007964E0"/>
    <w:rsid w:val="007973AB"/>
    <w:rsid w:val="007A6964"/>
    <w:rsid w:val="007B32C9"/>
    <w:rsid w:val="007B5426"/>
    <w:rsid w:val="007C3E32"/>
    <w:rsid w:val="008046F8"/>
    <w:rsid w:val="00806B62"/>
    <w:rsid w:val="00854716"/>
    <w:rsid w:val="00856EDC"/>
    <w:rsid w:val="00863040"/>
    <w:rsid w:val="0086734F"/>
    <w:rsid w:val="008721FC"/>
    <w:rsid w:val="00875B23"/>
    <w:rsid w:val="0088604A"/>
    <w:rsid w:val="00892C92"/>
    <w:rsid w:val="008B146A"/>
    <w:rsid w:val="008B4992"/>
    <w:rsid w:val="008B7923"/>
    <w:rsid w:val="008C1089"/>
    <w:rsid w:val="008C301D"/>
    <w:rsid w:val="008F106C"/>
    <w:rsid w:val="0092276F"/>
    <w:rsid w:val="00922C7A"/>
    <w:rsid w:val="0093355C"/>
    <w:rsid w:val="00940F43"/>
    <w:rsid w:val="0098538C"/>
    <w:rsid w:val="00993316"/>
    <w:rsid w:val="00A26740"/>
    <w:rsid w:val="00A27FB0"/>
    <w:rsid w:val="00A309D1"/>
    <w:rsid w:val="00A31747"/>
    <w:rsid w:val="00A33D6F"/>
    <w:rsid w:val="00A37BE1"/>
    <w:rsid w:val="00A44E57"/>
    <w:rsid w:val="00A72A38"/>
    <w:rsid w:val="00A92625"/>
    <w:rsid w:val="00AC35A9"/>
    <w:rsid w:val="00AE13A1"/>
    <w:rsid w:val="00AE3FC1"/>
    <w:rsid w:val="00AE5D3B"/>
    <w:rsid w:val="00AF15B5"/>
    <w:rsid w:val="00B04B43"/>
    <w:rsid w:val="00B177DA"/>
    <w:rsid w:val="00B2280A"/>
    <w:rsid w:val="00B316BE"/>
    <w:rsid w:val="00B32753"/>
    <w:rsid w:val="00B339BB"/>
    <w:rsid w:val="00B37C5F"/>
    <w:rsid w:val="00B53C78"/>
    <w:rsid w:val="00B6701A"/>
    <w:rsid w:val="00BA770C"/>
    <w:rsid w:val="00BC1972"/>
    <w:rsid w:val="00BD07DC"/>
    <w:rsid w:val="00BD2C4E"/>
    <w:rsid w:val="00BD4E38"/>
    <w:rsid w:val="00BD5AE9"/>
    <w:rsid w:val="00BD6595"/>
    <w:rsid w:val="00BE3022"/>
    <w:rsid w:val="00BE3A8C"/>
    <w:rsid w:val="00C2067A"/>
    <w:rsid w:val="00C25C33"/>
    <w:rsid w:val="00C27967"/>
    <w:rsid w:val="00C42986"/>
    <w:rsid w:val="00C473B0"/>
    <w:rsid w:val="00C54631"/>
    <w:rsid w:val="00C62A45"/>
    <w:rsid w:val="00C9198C"/>
    <w:rsid w:val="00C92028"/>
    <w:rsid w:val="00C922DD"/>
    <w:rsid w:val="00CB4387"/>
    <w:rsid w:val="00CD6BDB"/>
    <w:rsid w:val="00CE7458"/>
    <w:rsid w:val="00D02655"/>
    <w:rsid w:val="00D0311E"/>
    <w:rsid w:val="00D214C2"/>
    <w:rsid w:val="00D267EC"/>
    <w:rsid w:val="00D3108A"/>
    <w:rsid w:val="00D32D00"/>
    <w:rsid w:val="00D723C1"/>
    <w:rsid w:val="00D77B3C"/>
    <w:rsid w:val="00D90718"/>
    <w:rsid w:val="00DA234D"/>
    <w:rsid w:val="00DA6F98"/>
    <w:rsid w:val="00DB13A1"/>
    <w:rsid w:val="00DB55DB"/>
    <w:rsid w:val="00DB68A8"/>
    <w:rsid w:val="00DE1B96"/>
    <w:rsid w:val="00DE73F6"/>
    <w:rsid w:val="00E058B3"/>
    <w:rsid w:val="00E40ACD"/>
    <w:rsid w:val="00E45B00"/>
    <w:rsid w:val="00E557B2"/>
    <w:rsid w:val="00E55C61"/>
    <w:rsid w:val="00E606BA"/>
    <w:rsid w:val="00E66BA5"/>
    <w:rsid w:val="00E80E70"/>
    <w:rsid w:val="00E86019"/>
    <w:rsid w:val="00E9304A"/>
    <w:rsid w:val="00EA1B53"/>
    <w:rsid w:val="00EB03B3"/>
    <w:rsid w:val="00EF06C1"/>
    <w:rsid w:val="00EF1BD4"/>
    <w:rsid w:val="00EF553E"/>
    <w:rsid w:val="00EF65B2"/>
    <w:rsid w:val="00EF7213"/>
    <w:rsid w:val="00F02D68"/>
    <w:rsid w:val="00F17578"/>
    <w:rsid w:val="00F25CF4"/>
    <w:rsid w:val="00F273D9"/>
    <w:rsid w:val="00F3674C"/>
    <w:rsid w:val="00F36C34"/>
    <w:rsid w:val="00F402B9"/>
    <w:rsid w:val="00F5377F"/>
    <w:rsid w:val="00F83814"/>
    <w:rsid w:val="00F87792"/>
    <w:rsid w:val="00F923FB"/>
    <w:rsid w:val="00FA1F8E"/>
    <w:rsid w:val="00FB0370"/>
    <w:rsid w:val="00FB6FAB"/>
    <w:rsid w:val="00FE5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E29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B04B43"/>
    <w:pPr>
      <w:suppressAutoHyphens/>
      <w:spacing w:after="200" w:line="264" w:lineRule="auto"/>
    </w:pPr>
    <w:rPr>
      <w:rFonts w:ascii="Calibri" w:hAnsi="Calibri" w:cs="PostGrotesk-Book"/>
      <w:color w:val="55565A"/>
      <w:sz w:val="22"/>
      <w:szCs w:val="22"/>
    </w:rPr>
  </w:style>
  <w:style w:type="paragraph" w:customStyle="1" w:styleId="Heading-1">
    <w:name w:val="Heading-1"/>
    <w:basedOn w:val="BasicParagraph"/>
    <w:autoRedefine/>
    <w:qFormat/>
    <w:rsid w:val="00B6701A"/>
    <w:pPr>
      <w:suppressAutoHyphens/>
      <w:spacing w:after="100" w:line="264" w:lineRule="auto"/>
    </w:pPr>
    <w:rPr>
      <w:rFonts w:ascii="Calibri" w:hAnsi="Calibri" w:cs="PostGrotesk-Medium"/>
      <w:color w:val="430098"/>
      <w:sz w:val="26"/>
      <w:szCs w:val="28"/>
      <w:lang w:val="en-AU"/>
    </w:rPr>
  </w:style>
  <w:style w:type="paragraph" w:customStyle="1" w:styleId="Heading-2">
    <w:name w:val="Heading-2"/>
    <w:basedOn w:val="BasicParagraph"/>
    <w:qFormat/>
    <w:rsid w:val="00B04B43"/>
    <w:pPr>
      <w:suppressAutoHyphens/>
      <w:spacing w:after="200" w:line="264" w:lineRule="auto"/>
    </w:pPr>
    <w:rPr>
      <w:rFonts w:ascii="Calibri" w:hAnsi="Calibri" w:cs="PostGrotesk-Medium"/>
      <w:b/>
      <w:color w:val="55565A"/>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D77B3C"/>
    <w:pPr>
      <w:tabs>
        <w:tab w:val="clear" w:pos="9026"/>
        <w:tab w:val="left" w:pos="6946"/>
      </w:tabs>
      <w:spacing w:before="60" w:after="200"/>
    </w:pPr>
    <w:rPr>
      <w:rFonts w:asciiTheme="minorHAnsi" w:hAnsiTheme="minorHAnsi" w:cs="Arial"/>
      <w:b/>
      <w:color w:val="430098"/>
      <w:sz w:val="30"/>
      <w:szCs w:val="40"/>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qFormat/>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styleId="ListParagraph">
    <w:name w:val="List Paragraph"/>
    <w:basedOn w:val="Normal"/>
    <w:uiPriority w:val="34"/>
    <w:qFormat/>
    <w:rsid w:val="00BD6595"/>
    <w:pPr>
      <w:ind w:left="720"/>
      <w:contextualSpacing/>
    </w:pPr>
    <w:rPr>
      <w:rFonts w:ascii="Times New Roman" w:eastAsia="Times New Roman" w:hAnsi="Times New Roman"/>
      <w:lang w:val="en-AU"/>
    </w:rPr>
  </w:style>
  <w:style w:type="character" w:styleId="Hyperlink">
    <w:name w:val="Hyperlink"/>
    <w:basedOn w:val="DefaultParagraphFont"/>
    <w:uiPriority w:val="99"/>
    <w:unhideWhenUsed/>
    <w:rsid w:val="00E058B3"/>
    <w:rPr>
      <w:color w:val="0000FF" w:themeColor="hyperlink"/>
      <w:u w:val="single"/>
    </w:rPr>
  </w:style>
  <w:style w:type="character" w:styleId="UnresolvedMention">
    <w:name w:val="Unresolved Mention"/>
    <w:basedOn w:val="DefaultParagraphFont"/>
    <w:uiPriority w:val="99"/>
    <w:semiHidden/>
    <w:unhideWhenUsed/>
    <w:rsid w:val="00E05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data-protection/what-is-data-protection/framework-vpds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D00D-8857-8C4E-810F-5F6F6A68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2019-10-02T00:32:00Z</dcterms:created>
  <dcterms:modified xsi:type="dcterms:W3CDTF">2019-12-16T21:40:00Z</dcterms:modified>
</cp:coreProperties>
</file>