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1C68" w14:textId="3C0EAD24" w:rsidR="002330E8" w:rsidRDefault="002330E8" w:rsidP="002330E8">
      <w:pPr>
        <w:pStyle w:val="MainTitle"/>
        <w:widowControl w:val="0"/>
      </w:pPr>
      <w:r>
        <w:t>T</w:t>
      </w:r>
      <w:r w:rsidRPr="00F3674C">
        <w:t>i</w:t>
      </w:r>
      <w:r>
        <w:t>meframes and extensions of time when processing an access request</w:t>
      </w:r>
    </w:p>
    <w:p w14:paraId="0CD7484C" w14:textId="43EDD15C" w:rsidR="002330E8" w:rsidRDefault="002330E8" w:rsidP="002330E8">
      <w:pPr>
        <w:pStyle w:val="Body"/>
      </w:pPr>
      <w:r>
        <w:t xml:space="preserve">This practice note provides an overview of the timeframe for deciding access requests, and the circumstances where an agency may extend timeframes. All legislative references are to the </w:t>
      </w:r>
      <w:r w:rsidRPr="00EF2B19">
        <w:rPr>
          <w:i/>
        </w:rPr>
        <w:t>Freedom of Information Act</w:t>
      </w:r>
      <w:r>
        <w:rPr>
          <w:i/>
        </w:rPr>
        <w:t xml:space="preserve"> </w:t>
      </w:r>
      <w:r w:rsidRPr="00084719">
        <w:rPr>
          <w:i/>
          <w:iCs/>
        </w:rPr>
        <w:t>1982</w:t>
      </w:r>
      <w:r>
        <w:t xml:space="preserve"> (Vic)</w:t>
      </w:r>
      <w:r w:rsidRPr="002D261D">
        <w:t xml:space="preserve"> </w:t>
      </w:r>
      <w:r>
        <w:t>unless otherwise stated.</w:t>
      </w:r>
    </w:p>
    <w:p w14:paraId="39FD418F" w14:textId="77777777" w:rsidR="002330E8" w:rsidRPr="00470E39" w:rsidRDefault="002330E8" w:rsidP="002330E8">
      <w:pPr>
        <w:pStyle w:val="Heading-1"/>
        <w:outlineLvl w:val="0"/>
        <w:rPr>
          <w:rFonts w:asciiTheme="minorHAnsi" w:hAnsiTheme="minorHAnsi"/>
        </w:rPr>
      </w:pPr>
      <w:r>
        <w:rPr>
          <w:rFonts w:asciiTheme="minorHAnsi" w:hAnsiTheme="minorHAnsi"/>
        </w:rPr>
        <w:t>Default timeframe</w:t>
      </w:r>
    </w:p>
    <w:p w14:paraId="43C8DC65" w14:textId="77777777" w:rsidR="002330E8" w:rsidRPr="002D261D" w:rsidRDefault="002330E8" w:rsidP="002330E8">
      <w:pPr>
        <w:pStyle w:val="Body"/>
      </w:pPr>
      <w:r>
        <w:t>Under section 21(1)(a) a</w:t>
      </w:r>
      <w:r w:rsidRPr="002D261D">
        <w:t>pplicants must be notified of a decision as soon as practicable, but</w:t>
      </w:r>
      <w:r>
        <w:t xml:space="preserve"> no later than</w:t>
      </w:r>
      <w:r w:rsidRPr="002D261D">
        <w:t xml:space="preserve"> 30 days</w:t>
      </w:r>
      <w:r>
        <w:t xml:space="preserve"> after receiving a valid request.</w:t>
      </w:r>
      <w:r>
        <w:rPr>
          <w:rStyle w:val="FootnoteReference"/>
        </w:rPr>
        <w:footnoteReference w:id="2"/>
      </w:r>
    </w:p>
    <w:p w14:paraId="0BBBF98B" w14:textId="77777777" w:rsidR="002330E8" w:rsidRPr="002D261D" w:rsidRDefault="002330E8" w:rsidP="002330E8">
      <w:pPr>
        <w:pStyle w:val="Body"/>
      </w:pPr>
      <w:r w:rsidRPr="002D261D">
        <w:t xml:space="preserve">The </w:t>
      </w:r>
      <w:proofErr w:type="gramStart"/>
      <w:r w:rsidRPr="002D261D">
        <w:t>30</w:t>
      </w:r>
      <w:r>
        <w:t xml:space="preserve"> </w:t>
      </w:r>
      <w:r w:rsidRPr="002D261D">
        <w:t>day</w:t>
      </w:r>
      <w:proofErr w:type="gramEnd"/>
      <w:r w:rsidRPr="002D261D">
        <w:t xml:space="preserve"> </w:t>
      </w:r>
      <w:r>
        <w:t>timeframe</w:t>
      </w:r>
      <w:r w:rsidRPr="002D261D">
        <w:t xml:space="preserve"> </w:t>
      </w:r>
      <w:r>
        <w:t>begins</w:t>
      </w:r>
      <w:r w:rsidRPr="002D261D">
        <w:t xml:space="preserve"> the day after </w:t>
      </w:r>
      <w:r>
        <w:t>a valid</w:t>
      </w:r>
      <w:r w:rsidRPr="002D261D">
        <w:t xml:space="preserve"> request is received. </w:t>
      </w:r>
      <w:r>
        <w:t>It</w:t>
      </w:r>
      <w:r w:rsidRPr="002D261D">
        <w:t xml:space="preserve"> includes</w:t>
      </w:r>
      <w:r>
        <w:t xml:space="preserve"> all calendar days. This means</w:t>
      </w:r>
      <w:r w:rsidRPr="002D261D">
        <w:t xml:space="preserve"> weekends, public holidays, and </w:t>
      </w:r>
      <w:r>
        <w:t xml:space="preserve">any </w:t>
      </w:r>
      <w:r w:rsidRPr="002D261D">
        <w:t>closedown periods</w:t>
      </w:r>
      <w:r>
        <w:t xml:space="preserve"> – </w:t>
      </w:r>
      <w:r w:rsidRPr="002D261D">
        <w:t xml:space="preserve">not just business </w:t>
      </w:r>
      <w:r>
        <w:t>or week</w:t>
      </w:r>
      <w:r w:rsidRPr="002D261D">
        <w:t>days.</w:t>
      </w:r>
    </w:p>
    <w:p w14:paraId="4560FDB9" w14:textId="77777777" w:rsidR="002330E8" w:rsidRDefault="002330E8" w:rsidP="002330E8">
      <w:pPr>
        <w:pStyle w:val="Body"/>
      </w:pPr>
      <w:r w:rsidRPr="002D261D">
        <w:t xml:space="preserve">If the </w:t>
      </w:r>
      <w:r>
        <w:t>due date for a decision falls</w:t>
      </w:r>
      <w:r w:rsidRPr="002D261D">
        <w:t xml:space="preserve"> on a weekend or public holiday, it moves to the next business day</w:t>
      </w:r>
      <w:r>
        <w:t>.</w:t>
      </w:r>
      <w:r>
        <w:rPr>
          <w:rStyle w:val="FootnoteReference"/>
        </w:rPr>
        <w:footnoteReference w:id="3"/>
      </w:r>
    </w:p>
    <w:p w14:paraId="34F26CD6" w14:textId="77777777" w:rsidR="002330E8" w:rsidRDefault="002330E8" w:rsidP="002330E8">
      <w:pPr>
        <w:pStyle w:val="Heading-1"/>
        <w:ind w:right="61"/>
        <w:outlineLvl w:val="0"/>
        <w:rPr>
          <w:rFonts w:asciiTheme="minorHAnsi" w:hAnsiTheme="minorHAnsi"/>
        </w:rPr>
      </w:pPr>
      <w:r>
        <w:rPr>
          <w:rFonts w:asciiTheme="minorHAnsi" w:hAnsiTheme="minorHAnsi"/>
        </w:rPr>
        <w:t>Extending the timeframe</w:t>
      </w:r>
    </w:p>
    <w:p w14:paraId="53462449" w14:textId="77777777" w:rsidR="002330E8" w:rsidRDefault="002330E8" w:rsidP="002330E8">
      <w:pPr>
        <w:pStyle w:val="Body"/>
      </w:pPr>
      <w:r>
        <w:t xml:space="preserve">The </w:t>
      </w:r>
      <w:proofErr w:type="gramStart"/>
      <w:r>
        <w:t>30 day</w:t>
      </w:r>
      <w:proofErr w:type="gramEnd"/>
      <w:r>
        <w:t xml:space="preserve"> timeframe may be extended where third party consultation is required or if the applicant agrees to an extension.</w:t>
      </w:r>
    </w:p>
    <w:p w14:paraId="44EAD67E" w14:textId="5CE5433E" w:rsidR="002330E8" w:rsidRDefault="002330E8" w:rsidP="002330E8">
      <w:pPr>
        <w:pStyle w:val="Body"/>
      </w:pPr>
      <w:r>
        <w:t xml:space="preserve">Section 21(4) requires applicants to be notified in writing of extensions to a timeframe. When providing written notification, </w:t>
      </w:r>
      <w:r w:rsidR="0031241E">
        <w:rPr>
          <w:i/>
          <w:iCs/>
        </w:rPr>
        <w:t>P</w:t>
      </w:r>
      <w:r w:rsidRPr="00200740">
        <w:rPr>
          <w:i/>
          <w:iCs/>
        </w:rPr>
        <w:t xml:space="preserve">rofessional </w:t>
      </w:r>
      <w:r w:rsidR="0031241E">
        <w:rPr>
          <w:i/>
          <w:iCs/>
        </w:rPr>
        <w:t>S</w:t>
      </w:r>
      <w:r w:rsidRPr="00200740">
        <w:rPr>
          <w:i/>
          <w:iCs/>
        </w:rPr>
        <w:t>tandard 3.2</w:t>
      </w:r>
      <w:r>
        <w:t xml:space="preserve"> requires agencies to detail the particular reasons for an extension and advise the applicant by how many days the due date is being extended.</w:t>
      </w:r>
    </w:p>
    <w:p w14:paraId="7BF2E7EA" w14:textId="0427F2CA" w:rsidR="002330E8" w:rsidRDefault="002330E8" w:rsidP="00A44479">
      <w:pPr>
        <w:pStyle w:val="Body"/>
      </w:pPr>
      <w:r>
        <w:t>Examples of the particular reason for extending a timeframe might include: to undertake third party con</w:t>
      </w:r>
      <w:r w:rsidRPr="002330E8">
        <w:t>sultatio</w:t>
      </w:r>
      <w:r>
        <w:t xml:space="preserve">n, to allow further searches to be conducted, or to provide additional time to assess documents. Agencies </w:t>
      </w:r>
      <w:r w:rsidRPr="00A44479">
        <w:t>should</w:t>
      </w:r>
      <w:r>
        <w:t xml:space="preserve"> be transparent in </w:t>
      </w:r>
      <w:r w:rsidRPr="00BF1F2C">
        <w:t>explaining</w:t>
      </w:r>
      <w:r>
        <w:t xml:space="preserve"> the </w:t>
      </w:r>
      <w:r w:rsidRPr="007B36F9">
        <w:t>reason</w:t>
      </w:r>
      <w:r>
        <w:t xml:space="preserve"> for </w:t>
      </w:r>
      <w:r w:rsidRPr="00EA39C0">
        <w:t>extending</w:t>
      </w:r>
      <w:r>
        <w:t xml:space="preserve"> a timeframe. </w:t>
      </w:r>
    </w:p>
    <w:p w14:paraId="5029A097" w14:textId="2288FA31" w:rsidR="002330E8" w:rsidRPr="002330E8" w:rsidRDefault="002330E8" w:rsidP="002330E8">
      <w:pPr>
        <w:pStyle w:val="Body"/>
      </w:pPr>
      <w:r w:rsidRPr="002330E8">
        <w:t>Under section 21(5), the timeframe for making a decision cannot be extended if it has already expired. It is important to plan ahead and ensure an applicant is either notified of the extension, or their agreement is obtained prior to the expiry of the timeframe for deciding the request.</w:t>
      </w:r>
    </w:p>
    <w:p w14:paraId="68028E1B" w14:textId="77777777" w:rsidR="002330E8" w:rsidRDefault="002330E8" w:rsidP="002330E8">
      <w:pPr>
        <w:pStyle w:val="Heading-2"/>
      </w:pPr>
      <w:r>
        <w:t>Extension for third party consultation</w:t>
      </w:r>
    </w:p>
    <w:p w14:paraId="45129473" w14:textId="77777777" w:rsidR="002330E8" w:rsidRDefault="002330E8" w:rsidP="002330E8">
      <w:pPr>
        <w:pStyle w:val="Body"/>
      </w:pPr>
      <w:r w:rsidRPr="00401E1D">
        <w:t>S</w:t>
      </w:r>
      <w:r>
        <w:t>ection</w:t>
      </w:r>
      <w:r w:rsidRPr="00401E1D">
        <w:t xml:space="preserve"> 21(2)(a) allows </w:t>
      </w:r>
      <w:r>
        <w:t xml:space="preserve">an agency to </w:t>
      </w:r>
      <w:r w:rsidRPr="00401E1D">
        <w:t>exten</w:t>
      </w:r>
      <w:r>
        <w:t>d</w:t>
      </w:r>
      <w:r w:rsidRPr="00401E1D">
        <w:t xml:space="preserve"> the</w:t>
      </w:r>
      <w:r>
        <w:t xml:space="preserve"> initial </w:t>
      </w:r>
      <w:proofErr w:type="gramStart"/>
      <w:r>
        <w:t>30 day</w:t>
      </w:r>
      <w:proofErr w:type="gramEnd"/>
      <w:r>
        <w:t xml:space="preserve"> timeframe </w:t>
      </w:r>
      <w:r w:rsidRPr="00401E1D">
        <w:t xml:space="preserve">by up to 15 days if </w:t>
      </w:r>
      <w:r>
        <w:t xml:space="preserve">third party </w:t>
      </w:r>
      <w:r w:rsidRPr="00401E1D">
        <w:t xml:space="preserve">consultation is </w:t>
      </w:r>
      <w:r>
        <w:t xml:space="preserve">required under </w:t>
      </w:r>
      <w:r w:rsidRPr="004F5551">
        <w:t>sections</w:t>
      </w:r>
      <w:r w:rsidRPr="00401E1D">
        <w:t xml:space="preserve"> 29, 29A, 31, 31A, 33, 34 or 35.</w:t>
      </w:r>
    </w:p>
    <w:p w14:paraId="74D5D62B" w14:textId="3983DFFF" w:rsidR="002330E8" w:rsidRPr="00603C0F" w:rsidRDefault="002330E8" w:rsidP="002330E8">
      <w:pPr>
        <w:pStyle w:val="Body"/>
      </w:pPr>
      <w:r>
        <w:t xml:space="preserve">Under </w:t>
      </w:r>
      <w:bookmarkStart w:id="0" w:name="_GoBack"/>
      <w:r w:rsidR="0031241E">
        <w:rPr>
          <w:i/>
          <w:iCs/>
        </w:rPr>
        <w:t>P</w:t>
      </w:r>
      <w:r w:rsidRPr="00A55880">
        <w:rPr>
          <w:i/>
          <w:iCs/>
        </w:rPr>
        <w:t>rof</w:t>
      </w:r>
      <w:bookmarkEnd w:id="0"/>
      <w:r w:rsidRPr="00A55880">
        <w:rPr>
          <w:i/>
          <w:iCs/>
        </w:rPr>
        <w:t xml:space="preserve">essional </w:t>
      </w:r>
      <w:r w:rsidR="0031241E">
        <w:rPr>
          <w:i/>
          <w:iCs/>
        </w:rPr>
        <w:t>S</w:t>
      </w:r>
      <w:r w:rsidRPr="00A55880">
        <w:rPr>
          <w:i/>
          <w:iCs/>
        </w:rPr>
        <w:t>tandard 3.1</w:t>
      </w:r>
      <w:r w:rsidRPr="00200740">
        <w:t>,</w:t>
      </w:r>
      <w:r w:rsidRPr="00CC2DD0">
        <w:t xml:space="preserve"> </w:t>
      </w:r>
      <w:r>
        <w:t xml:space="preserve">an agency may only extend the </w:t>
      </w:r>
      <w:proofErr w:type="gramStart"/>
      <w:r>
        <w:t>30 day</w:t>
      </w:r>
      <w:proofErr w:type="gramEnd"/>
      <w:r>
        <w:t xml:space="preserve"> timeframe where third party consultation is being undertaken or will be undertaken. That is, an agency is not entitled to an extension where consultation is considered, but subsequently not undertaken.</w:t>
      </w:r>
    </w:p>
    <w:p w14:paraId="1AE97119" w14:textId="77777777" w:rsidR="002330E8" w:rsidRDefault="002330E8" w:rsidP="002330E8">
      <w:pPr>
        <w:pStyle w:val="Body"/>
      </w:pPr>
      <w:r w:rsidRPr="00401E1D">
        <w:t>A decision to extend the</w:t>
      </w:r>
      <w:r>
        <w:t xml:space="preserve"> timeframe</w:t>
      </w:r>
      <w:r w:rsidRPr="00401E1D">
        <w:t xml:space="preserve"> </w:t>
      </w:r>
      <w:r>
        <w:t>for</w:t>
      </w:r>
      <w:r w:rsidRPr="00401E1D">
        <w:t xml:space="preserve"> third party consultation should only be made after an agency has</w:t>
      </w:r>
      <w:r>
        <w:t xml:space="preserve"> enough information before them to make</w:t>
      </w:r>
      <w:r w:rsidRPr="00401E1D">
        <w:t xml:space="preserve"> an informed decision about whether </w:t>
      </w:r>
      <w:r>
        <w:t xml:space="preserve">or not </w:t>
      </w:r>
      <w:r w:rsidRPr="00401E1D">
        <w:t>consultation is</w:t>
      </w:r>
      <w:r>
        <w:t xml:space="preserve"> </w:t>
      </w:r>
      <w:r w:rsidRPr="00401E1D">
        <w:t>required</w:t>
      </w:r>
      <w:r>
        <w:t xml:space="preserve">, and whether or not it will be </w:t>
      </w:r>
      <w:r w:rsidRPr="00EA39C0">
        <w:t>undertaken</w:t>
      </w:r>
      <w:r w:rsidRPr="00401E1D">
        <w:t xml:space="preserve">. </w:t>
      </w:r>
    </w:p>
    <w:p w14:paraId="4A861A05" w14:textId="08A482C9" w:rsidR="002330E8" w:rsidRDefault="002330E8" w:rsidP="002330E8">
      <w:pPr>
        <w:pStyle w:val="Body"/>
      </w:pPr>
      <w:r>
        <w:lastRenderedPageBreak/>
        <w:t>Practically speaking, t</w:t>
      </w:r>
      <w:r w:rsidRPr="00401E1D">
        <w:t>his may mean</w:t>
      </w:r>
      <w:r>
        <w:t xml:space="preserve"> </w:t>
      </w:r>
      <w:r w:rsidRPr="00401E1D">
        <w:t>waiting until</w:t>
      </w:r>
      <w:r>
        <w:t>:</w:t>
      </w:r>
    </w:p>
    <w:p w14:paraId="15A108F6" w14:textId="77777777" w:rsidR="002330E8" w:rsidRDefault="002330E8" w:rsidP="002330E8">
      <w:pPr>
        <w:pStyle w:val="Body"/>
        <w:numPr>
          <w:ilvl w:val="0"/>
          <w:numId w:val="9"/>
        </w:numPr>
        <w:spacing w:after="240"/>
        <w:outlineLvl w:val="0"/>
      </w:pPr>
      <w:r>
        <w:t>s</w:t>
      </w:r>
      <w:r w:rsidRPr="00401E1D">
        <w:t>ome or all of the documents containing third party information have been identified</w:t>
      </w:r>
      <w:r>
        <w:t xml:space="preserve">; and </w:t>
      </w:r>
    </w:p>
    <w:p w14:paraId="5DE1825B" w14:textId="77777777" w:rsidR="002330E8" w:rsidRDefault="002330E8" w:rsidP="002330E8">
      <w:pPr>
        <w:pStyle w:val="Body"/>
        <w:numPr>
          <w:ilvl w:val="0"/>
          <w:numId w:val="9"/>
        </w:numPr>
        <w:spacing w:after="240"/>
      </w:pPr>
      <w:r>
        <w:t>it is determined third party consultation is practicable in the circumstances.</w:t>
      </w:r>
      <w:r>
        <w:rPr>
          <w:rStyle w:val="FootnoteReference"/>
        </w:rPr>
        <w:footnoteReference w:id="4"/>
      </w:r>
    </w:p>
    <w:p w14:paraId="2F52D7B8" w14:textId="77777777" w:rsidR="002330E8" w:rsidRDefault="002330E8" w:rsidP="002330E8">
      <w:pPr>
        <w:pStyle w:val="Body"/>
      </w:pPr>
      <w:r>
        <w:t xml:space="preserve">An extension under section 21(2)(a) can only be used to extend the </w:t>
      </w:r>
      <w:proofErr w:type="gramStart"/>
      <w:r>
        <w:t>30 day</w:t>
      </w:r>
      <w:proofErr w:type="gramEnd"/>
      <w:r>
        <w:t xml:space="preserve"> timeframe once. For example, where consultation is undertaken in accordance with the requirements of sections 33, 34 and 35, an agency is entitled to one extension of up to 15 days, not three separate </w:t>
      </w:r>
      <w:r w:rsidRPr="00863095">
        <w:t>extensions</w:t>
      </w:r>
      <w:r>
        <w:t xml:space="preserve">. </w:t>
      </w:r>
    </w:p>
    <w:p w14:paraId="182A6E96" w14:textId="77777777" w:rsidR="002330E8" w:rsidRPr="00470E39" w:rsidRDefault="002330E8" w:rsidP="002330E8">
      <w:pPr>
        <w:pStyle w:val="Heading-2"/>
        <w:outlineLvl w:val="0"/>
        <w:rPr>
          <w:rFonts w:asciiTheme="minorHAnsi" w:hAnsiTheme="minorHAnsi"/>
        </w:rPr>
      </w:pPr>
      <w:r>
        <w:rPr>
          <w:rFonts w:asciiTheme="minorHAnsi" w:hAnsiTheme="minorHAnsi"/>
        </w:rPr>
        <w:t>Extension with an applicant’s agreement</w:t>
      </w:r>
    </w:p>
    <w:p w14:paraId="2EE12192" w14:textId="77777777" w:rsidR="002330E8" w:rsidRPr="00401E1D" w:rsidRDefault="002330E8" w:rsidP="002330E8">
      <w:pPr>
        <w:pStyle w:val="Body"/>
      </w:pPr>
      <w:r w:rsidRPr="00401E1D">
        <w:t>S</w:t>
      </w:r>
      <w:r>
        <w:t>ection</w:t>
      </w:r>
      <w:r w:rsidRPr="00401E1D">
        <w:t xml:space="preserve"> 21(2)(b) allows </w:t>
      </w:r>
      <w:r>
        <w:t xml:space="preserve">the </w:t>
      </w:r>
      <w:proofErr w:type="gramStart"/>
      <w:r w:rsidRPr="00401E1D">
        <w:t>30</w:t>
      </w:r>
      <w:r>
        <w:t xml:space="preserve"> </w:t>
      </w:r>
      <w:r w:rsidRPr="00401E1D">
        <w:t>day</w:t>
      </w:r>
      <w:proofErr w:type="gramEnd"/>
      <w:r>
        <w:t xml:space="preserve"> timeframe to be extended by up to 30 days at a time with the</w:t>
      </w:r>
      <w:r w:rsidRPr="00401E1D">
        <w:t xml:space="preserve"> applicant</w:t>
      </w:r>
      <w:r>
        <w:t>’s</w:t>
      </w:r>
      <w:r w:rsidRPr="00401E1D">
        <w:t xml:space="preserve"> agree</w:t>
      </w:r>
      <w:r>
        <w:t>ment</w:t>
      </w:r>
      <w:r w:rsidRPr="00401E1D">
        <w:t xml:space="preserve">. </w:t>
      </w:r>
      <w:r>
        <w:t>Under section 21(3), an agency may seek agreement from an applicant for an extension</w:t>
      </w:r>
      <w:r w:rsidRPr="00401E1D">
        <w:t xml:space="preserve"> any number of times.</w:t>
      </w:r>
    </w:p>
    <w:p w14:paraId="0DD1B6E8" w14:textId="77777777" w:rsidR="002330E8" w:rsidRDefault="002330E8" w:rsidP="002330E8">
      <w:pPr>
        <w:pStyle w:val="Heading-2"/>
      </w:pPr>
      <w:r>
        <w:t>Multiple extensions of time</w:t>
      </w:r>
    </w:p>
    <w:p w14:paraId="4162A617" w14:textId="77777777" w:rsidR="002330E8" w:rsidRDefault="002330E8" w:rsidP="002330E8">
      <w:pPr>
        <w:pStyle w:val="Body"/>
      </w:pPr>
      <w:r>
        <w:t xml:space="preserve">Multiple extensions of time can only be sought in the following manner: </w:t>
      </w:r>
    </w:p>
    <w:p w14:paraId="008AA8F6" w14:textId="77777777" w:rsidR="002330E8" w:rsidRPr="000418A4" w:rsidRDefault="002330E8" w:rsidP="002330E8">
      <w:pPr>
        <w:pStyle w:val="Body"/>
        <w:numPr>
          <w:ilvl w:val="0"/>
          <w:numId w:val="10"/>
        </w:numPr>
        <w:spacing w:after="240"/>
      </w:pPr>
      <w:r>
        <w:t xml:space="preserve">a single extension of </w:t>
      </w:r>
      <w:r w:rsidRPr="000418A4">
        <w:t>up to 15 days for consultation in the first instance</w:t>
      </w:r>
      <w:r>
        <w:t xml:space="preserve"> under </w:t>
      </w:r>
      <w:r w:rsidRPr="000418A4">
        <w:t>section 21(2)(a)</w:t>
      </w:r>
      <w:r>
        <w:t>;</w:t>
      </w:r>
      <w:r w:rsidRPr="000418A4">
        <w:t xml:space="preserve"> followed by any number of additional extensions of up to 30 days with</w:t>
      </w:r>
      <w:r>
        <w:t xml:space="preserve"> an applicant’s</w:t>
      </w:r>
      <w:r w:rsidRPr="000418A4">
        <w:t xml:space="preserve"> agreement </w:t>
      </w:r>
      <w:r>
        <w:t>under</w:t>
      </w:r>
      <w:r w:rsidRPr="000418A4">
        <w:t xml:space="preserve"> sections 21(2)(b) and 21(3); or</w:t>
      </w:r>
    </w:p>
    <w:p w14:paraId="6280885B" w14:textId="0B99E675" w:rsidR="002330E8" w:rsidRDefault="002330E8" w:rsidP="002330E8">
      <w:pPr>
        <w:pStyle w:val="Body"/>
        <w:numPr>
          <w:ilvl w:val="0"/>
          <w:numId w:val="10"/>
        </w:numPr>
        <w:spacing w:after="240"/>
      </w:pPr>
      <w:r>
        <w:t xml:space="preserve">an extension of </w:t>
      </w:r>
      <w:r w:rsidRPr="000418A4">
        <w:t xml:space="preserve">up to 30 days with </w:t>
      </w:r>
      <w:r>
        <w:t>the applicant’s</w:t>
      </w:r>
      <w:r w:rsidRPr="000418A4">
        <w:t xml:space="preserve"> agreement in the first instance, </w:t>
      </w:r>
      <w:r>
        <w:t>under</w:t>
      </w:r>
      <w:r w:rsidRPr="000418A4">
        <w:t xml:space="preserve"> section 21(2)(b)</w:t>
      </w:r>
      <w:r>
        <w:t>;</w:t>
      </w:r>
      <w:r w:rsidRPr="000418A4">
        <w:t xml:space="preserve"> followed by any number of additional extensions of up to 30 days with </w:t>
      </w:r>
      <w:r>
        <w:t xml:space="preserve">the </w:t>
      </w:r>
      <w:r w:rsidRPr="000418A4">
        <w:t>applicant</w:t>
      </w:r>
      <w:r>
        <w:t>’s agreement</w:t>
      </w:r>
      <w:r w:rsidRPr="000418A4">
        <w:t xml:space="preserve"> </w:t>
      </w:r>
      <w:r>
        <w:t>under</w:t>
      </w:r>
      <w:r w:rsidRPr="000418A4">
        <w:t xml:space="preserve"> sections 21(2)(b) and 21(3).</w:t>
      </w:r>
    </w:p>
    <w:p w14:paraId="77FC0497" w14:textId="77777777" w:rsidR="002330E8" w:rsidRDefault="002330E8" w:rsidP="002330E8">
      <w:pPr>
        <w:pStyle w:val="Body"/>
      </w:pPr>
      <w:r>
        <w:t>If an agency extends the timeframe with the applicant’s agreement in the first instance, it should not, at a later stage, further extend the timeframe in order to undertake third party consultation. This is contrary to the object and intent of these extension of time provisions.</w:t>
      </w:r>
    </w:p>
    <w:p w14:paraId="1A4911FD" w14:textId="77777777" w:rsidR="002330E8" w:rsidRDefault="002330E8" w:rsidP="002330E8">
      <w:pPr>
        <w:pStyle w:val="Heading-1"/>
        <w:outlineLvl w:val="0"/>
        <w:rPr>
          <w:rFonts w:asciiTheme="minorHAnsi" w:hAnsiTheme="minorHAnsi"/>
        </w:rPr>
      </w:pPr>
      <w:r>
        <w:rPr>
          <w:rFonts w:asciiTheme="minorHAnsi" w:hAnsiTheme="minorHAnsi"/>
        </w:rPr>
        <w:t>Other changes to the timeframe</w:t>
      </w:r>
    </w:p>
    <w:p w14:paraId="0043D794" w14:textId="77777777" w:rsidR="002330E8" w:rsidRDefault="002330E8" w:rsidP="002330E8">
      <w:pPr>
        <w:pStyle w:val="Body"/>
      </w:pPr>
      <w:r>
        <w:t xml:space="preserve">The </w:t>
      </w:r>
      <w:proofErr w:type="gramStart"/>
      <w:r>
        <w:t>30 day</w:t>
      </w:r>
      <w:proofErr w:type="gramEnd"/>
      <w:r>
        <w:t xml:space="preserve"> timeframe can also be paused, reset or waived in certain circumstances. </w:t>
      </w:r>
    </w:p>
    <w:p w14:paraId="45B1F2E0" w14:textId="77777777" w:rsidR="002330E8" w:rsidRPr="00732AE5" w:rsidRDefault="002330E8" w:rsidP="002330E8">
      <w:pPr>
        <w:pStyle w:val="Heading-2"/>
      </w:pPr>
      <w:r>
        <w:t xml:space="preserve">Suspending the timeframe – section 25A(1) </w:t>
      </w:r>
    </w:p>
    <w:p w14:paraId="56BF585D" w14:textId="77777777" w:rsidR="002330E8" w:rsidRDefault="002330E8" w:rsidP="002330E8">
      <w:pPr>
        <w:pStyle w:val="Body"/>
      </w:pPr>
      <w:r>
        <w:t>T</w:t>
      </w:r>
      <w:r w:rsidRPr="00A269D8">
        <w:t>he time</w:t>
      </w:r>
      <w:r>
        <w:t>frame for making a decision</w:t>
      </w:r>
      <w:r w:rsidRPr="00A269D8">
        <w:t xml:space="preserve"> </w:t>
      </w:r>
      <w:r w:rsidRPr="00A269D8">
        <w:rPr>
          <w:i/>
        </w:rPr>
        <w:t>pauses</w:t>
      </w:r>
      <w:r w:rsidRPr="00A269D8">
        <w:t xml:space="preserve"> </w:t>
      </w:r>
      <w:r>
        <w:t xml:space="preserve">on </w:t>
      </w:r>
      <w:r w:rsidRPr="00A269D8">
        <w:t xml:space="preserve">the day </w:t>
      </w:r>
      <w:r>
        <w:t>a</w:t>
      </w:r>
      <w:r w:rsidRPr="00A269D8">
        <w:t xml:space="preserve"> notice is given to </w:t>
      </w:r>
      <w:r>
        <w:t>an</w:t>
      </w:r>
      <w:r w:rsidRPr="00A269D8">
        <w:t xml:space="preserve"> applicant</w:t>
      </w:r>
      <w:r>
        <w:t xml:space="preserve"> under section 25A(6) - where an agency intends to refuse to process a request as it would substantially and unreasonably divert the resources of the agency</w:t>
      </w:r>
      <w:r w:rsidDel="00863095">
        <w:t xml:space="preserve"> </w:t>
      </w:r>
      <w:r>
        <w:t>and inviting the applicant to consult.</w:t>
      </w:r>
    </w:p>
    <w:p w14:paraId="05ADB99C" w14:textId="77777777" w:rsidR="002330E8" w:rsidRPr="00A40BE7" w:rsidRDefault="002330E8" w:rsidP="002330E8">
      <w:pPr>
        <w:pStyle w:val="Body"/>
      </w:pPr>
      <w:r>
        <w:t>T</w:t>
      </w:r>
      <w:r w:rsidRPr="00A269D8">
        <w:t>he time</w:t>
      </w:r>
      <w:r>
        <w:t>frame for making a decision</w:t>
      </w:r>
      <w:r w:rsidRPr="00A269D8" w:rsidDel="00097758">
        <w:t xml:space="preserve"> </w:t>
      </w:r>
      <w:r w:rsidRPr="00A269D8">
        <w:rPr>
          <w:i/>
        </w:rPr>
        <w:t>resumes</w:t>
      </w:r>
      <w:r w:rsidRPr="00A269D8">
        <w:t xml:space="preserve"> the day after </w:t>
      </w:r>
      <w:r>
        <w:t>the</w:t>
      </w:r>
      <w:r w:rsidRPr="00A269D8">
        <w:t xml:space="preserve"> applicant confirms a revised or altered request</w:t>
      </w:r>
      <w:r>
        <w:t xml:space="preserve"> (section 25A(7)).</w:t>
      </w:r>
    </w:p>
    <w:p w14:paraId="74B656A2" w14:textId="77777777" w:rsidR="002330E8" w:rsidRPr="00732AE5" w:rsidRDefault="002330E8" w:rsidP="002330E8">
      <w:pPr>
        <w:pStyle w:val="Heading-2"/>
      </w:pPr>
      <w:r>
        <w:t>Resetting the timeframe – section 22(5)</w:t>
      </w:r>
    </w:p>
    <w:p w14:paraId="12267133" w14:textId="77777777" w:rsidR="002330E8" w:rsidRPr="008402C4" w:rsidRDefault="002330E8" w:rsidP="002330E8">
      <w:pPr>
        <w:pStyle w:val="Body"/>
      </w:pPr>
      <w:r w:rsidRPr="008402C4">
        <w:t>Where an</w:t>
      </w:r>
      <w:r>
        <w:t xml:space="preserve"> agency requires payment of an access charges deposit in accordance with sections 22(3) and 22(4):</w:t>
      </w:r>
    </w:p>
    <w:p w14:paraId="67D17E2D" w14:textId="77777777" w:rsidR="002330E8" w:rsidRPr="00200740" w:rsidRDefault="002330E8" w:rsidP="002330E8">
      <w:pPr>
        <w:pStyle w:val="Body"/>
        <w:numPr>
          <w:ilvl w:val="0"/>
          <w:numId w:val="8"/>
        </w:numPr>
        <w:spacing w:after="240"/>
        <w:rPr>
          <w:b/>
          <w:bCs/>
        </w:rPr>
      </w:pPr>
      <w:r w:rsidRPr="00DE2099">
        <w:rPr>
          <w:bCs/>
        </w:rPr>
        <w:t>the timeframe for making a decision</w:t>
      </w:r>
      <w:r w:rsidRPr="00DE2099" w:rsidDel="00097758">
        <w:rPr>
          <w:bCs/>
        </w:rPr>
        <w:t xml:space="preserve"> </w:t>
      </w:r>
      <w:r w:rsidRPr="00475586">
        <w:rPr>
          <w:bCs/>
          <w:i/>
        </w:rPr>
        <w:t>stops</w:t>
      </w:r>
      <w:r>
        <w:rPr>
          <w:bCs/>
          <w:iCs/>
        </w:rPr>
        <w:t xml:space="preserve"> when the applicant is notified about payment of a deposit for access charges</w:t>
      </w:r>
      <w:r w:rsidRPr="00475586">
        <w:rPr>
          <w:bCs/>
        </w:rPr>
        <w:t>; and</w:t>
      </w:r>
    </w:p>
    <w:p w14:paraId="6AE27D94" w14:textId="77777777" w:rsidR="002330E8" w:rsidRPr="008402C4" w:rsidRDefault="002330E8" w:rsidP="002330E8">
      <w:pPr>
        <w:pStyle w:val="Body"/>
        <w:numPr>
          <w:ilvl w:val="0"/>
          <w:numId w:val="8"/>
        </w:numPr>
        <w:spacing w:after="240"/>
      </w:pPr>
      <w:r w:rsidRPr="00200740">
        <w:rPr>
          <w:iCs/>
        </w:rPr>
        <w:lastRenderedPageBreak/>
        <w:t>the timeframe</w:t>
      </w:r>
      <w:r>
        <w:rPr>
          <w:iCs/>
        </w:rPr>
        <w:t xml:space="preserve"> for making a decision</w:t>
      </w:r>
      <w:r>
        <w:rPr>
          <w:i/>
        </w:rPr>
        <w:t xml:space="preserve"> </w:t>
      </w:r>
      <w:r w:rsidRPr="00A835F2">
        <w:rPr>
          <w:i/>
        </w:rPr>
        <w:t>resets</w:t>
      </w:r>
      <w:r w:rsidRPr="008402C4">
        <w:t xml:space="preserve"> </w:t>
      </w:r>
      <w:r>
        <w:t xml:space="preserve">to ‘day one’ of the </w:t>
      </w:r>
      <w:proofErr w:type="gramStart"/>
      <w:r>
        <w:t>30 day</w:t>
      </w:r>
      <w:proofErr w:type="gramEnd"/>
      <w:r>
        <w:t xml:space="preserve"> timeframe, </w:t>
      </w:r>
      <w:r w:rsidRPr="008402C4">
        <w:t>the day after the applicant pays the deposit</w:t>
      </w:r>
      <w:r>
        <w:t xml:space="preserve"> (section 22(5)).</w:t>
      </w:r>
    </w:p>
    <w:p w14:paraId="0DF892ED" w14:textId="77777777" w:rsidR="002330E8" w:rsidRDefault="002330E8" w:rsidP="002330E8">
      <w:pPr>
        <w:pStyle w:val="Heading-2"/>
      </w:pPr>
      <w:r>
        <w:t>Waiving the timeframe – section 22(6)</w:t>
      </w:r>
    </w:p>
    <w:p w14:paraId="142940D4" w14:textId="77777777" w:rsidR="002330E8" w:rsidRDefault="002330E8" w:rsidP="002330E8">
      <w:pPr>
        <w:pStyle w:val="Body"/>
      </w:pPr>
      <w:r>
        <w:t>Section 22(6) allows</w:t>
      </w:r>
      <w:r w:rsidRPr="007A3BB6">
        <w:t xml:space="preserve"> </w:t>
      </w:r>
      <w:r>
        <w:t xml:space="preserve">an agency and applicant to discuss practicable alternatives for altering the request, including reducing an access charge in exchange for the applicant waiving, conditionally or unconditionally, compliance with the </w:t>
      </w:r>
      <w:proofErr w:type="gramStart"/>
      <w:r>
        <w:t>30 day</w:t>
      </w:r>
      <w:proofErr w:type="gramEnd"/>
      <w:r>
        <w:t xml:space="preserve"> timeframe to process the request. </w:t>
      </w:r>
    </w:p>
    <w:p w14:paraId="0DA8B75F" w14:textId="77777777" w:rsidR="002330E8" w:rsidRDefault="002330E8" w:rsidP="002330E8">
      <w:pPr>
        <w:pStyle w:val="Body"/>
      </w:pPr>
      <w:r>
        <w:t>Any agreement under section 22(6) should be recorded and confirmed in writing.</w:t>
      </w:r>
    </w:p>
    <w:p w14:paraId="1C8F6D63" w14:textId="77777777" w:rsidR="002330E8" w:rsidRPr="00470E39" w:rsidRDefault="002330E8" w:rsidP="002330E8">
      <w:pPr>
        <w:pStyle w:val="Heading-1"/>
        <w:ind w:right="61"/>
        <w:outlineLvl w:val="0"/>
        <w:rPr>
          <w:rFonts w:asciiTheme="minorHAnsi" w:hAnsiTheme="minorHAnsi"/>
        </w:rPr>
      </w:pPr>
      <w:r>
        <w:rPr>
          <w:rFonts w:asciiTheme="minorHAnsi" w:hAnsiTheme="minorHAnsi"/>
        </w:rPr>
        <w:t>Failure to meet the deadline</w:t>
      </w:r>
    </w:p>
    <w:p w14:paraId="45643972" w14:textId="77777777" w:rsidR="002330E8" w:rsidRPr="00401E1D" w:rsidRDefault="002330E8" w:rsidP="002330E8">
      <w:pPr>
        <w:pStyle w:val="Body"/>
      </w:pPr>
      <w:r w:rsidRPr="00401E1D">
        <w:t xml:space="preserve">If an applicant has not been notified of a decision within the </w:t>
      </w:r>
      <w:proofErr w:type="gramStart"/>
      <w:r w:rsidRPr="00401E1D">
        <w:t>30</w:t>
      </w:r>
      <w:r>
        <w:t xml:space="preserve"> </w:t>
      </w:r>
      <w:r w:rsidRPr="00401E1D">
        <w:t>day</w:t>
      </w:r>
      <w:proofErr w:type="gramEnd"/>
      <w:r w:rsidRPr="00401E1D">
        <w:t xml:space="preserve"> timeframe (or as extended), the applicant has the right to:</w:t>
      </w:r>
    </w:p>
    <w:p w14:paraId="30FC9305" w14:textId="77777777" w:rsidR="002330E8" w:rsidRPr="00401E1D" w:rsidRDefault="002330E8" w:rsidP="002330E8">
      <w:pPr>
        <w:pStyle w:val="Body"/>
        <w:numPr>
          <w:ilvl w:val="0"/>
          <w:numId w:val="7"/>
        </w:numPr>
        <w:spacing w:after="240"/>
      </w:pPr>
      <w:r w:rsidRPr="00401E1D">
        <w:t xml:space="preserve">apply to </w:t>
      </w:r>
      <w:r>
        <w:t xml:space="preserve">the Victorian </w:t>
      </w:r>
      <w:r w:rsidRPr="00401E1D">
        <w:t>C</w:t>
      </w:r>
      <w:r>
        <w:t xml:space="preserve">ivil and </w:t>
      </w:r>
      <w:r w:rsidRPr="00401E1D">
        <w:t>A</w:t>
      </w:r>
      <w:r>
        <w:t xml:space="preserve">dministrative </w:t>
      </w:r>
      <w:r w:rsidRPr="00401E1D">
        <w:t>T</w:t>
      </w:r>
      <w:r>
        <w:t>ribunal</w:t>
      </w:r>
      <w:r w:rsidRPr="00401E1D">
        <w:t xml:space="preserve"> on the basis of a deemed </w:t>
      </w:r>
      <w:r>
        <w:t xml:space="preserve">decision of the agency to </w:t>
      </w:r>
      <w:r w:rsidRPr="00401E1D">
        <w:t>refus</w:t>
      </w:r>
      <w:r>
        <w:t>e the request (sections 50(1)(</w:t>
      </w:r>
      <w:proofErr w:type="spellStart"/>
      <w:r>
        <w:t>ea</w:t>
      </w:r>
      <w:proofErr w:type="spellEnd"/>
      <w:r>
        <w:t>) and 53(1))</w:t>
      </w:r>
      <w:r w:rsidRPr="00401E1D">
        <w:t>; and/or</w:t>
      </w:r>
    </w:p>
    <w:p w14:paraId="64A10107" w14:textId="77777777" w:rsidR="002330E8" w:rsidRPr="00401E1D" w:rsidRDefault="002330E8" w:rsidP="002330E8">
      <w:pPr>
        <w:pStyle w:val="Body"/>
        <w:numPr>
          <w:ilvl w:val="0"/>
          <w:numId w:val="7"/>
        </w:numPr>
        <w:spacing w:after="240"/>
      </w:pPr>
      <w:r w:rsidRPr="00401E1D">
        <w:t>make a complaint to the Information Commissioner</w:t>
      </w:r>
      <w:r>
        <w:t xml:space="preserve"> (section 61A(1)(a))</w:t>
      </w:r>
      <w:r w:rsidRPr="00401E1D">
        <w:t>.</w:t>
      </w:r>
    </w:p>
    <w:p w14:paraId="0D021336" w14:textId="0FB15E0F" w:rsidR="005754AC" w:rsidRPr="005754AC" w:rsidRDefault="002330E8" w:rsidP="002330E8">
      <w:pPr>
        <w:pStyle w:val="Body"/>
        <w:spacing w:after="360"/>
        <w:rPr>
          <w:rFonts w:asciiTheme="minorHAnsi" w:hAnsiTheme="minorHAnsi"/>
          <w:lang w:val="en-AU"/>
        </w:rPr>
      </w:pPr>
      <w:r>
        <w:t>Until an applicant does either of those things, an agency must continue to process the request and make a decision as soon as possible</w:t>
      </w:r>
      <w:r w:rsidR="00320B70">
        <w:rPr>
          <w:lang w:val="en-AU"/>
        </w:rPr>
        <w:t>.</w:t>
      </w:r>
    </w:p>
    <w:p w14:paraId="6A5B3905" w14:textId="77777777" w:rsidR="005754AC" w:rsidRPr="00E606BA" w:rsidRDefault="005754AC" w:rsidP="00AD2C19">
      <w:pPr>
        <w:widowControl w:val="0"/>
        <w:pBdr>
          <w:top w:val="single" w:sz="4" w:space="8" w:color="430098"/>
        </w:pBdr>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E606BA">
        <w:rPr>
          <w:rFonts w:asciiTheme="minorHAnsi" w:hAnsiTheme="minorHAnsi" w:cstheme="minorHAnsi"/>
          <w:b/>
          <w:color w:val="55565A"/>
          <w:sz w:val="18"/>
          <w:szCs w:val="18"/>
          <w:lang w:val="en-AU"/>
        </w:rPr>
        <w:t xml:space="preserve">Disclaimer: </w:t>
      </w:r>
      <w:r w:rsidRPr="00E606BA">
        <w:rPr>
          <w:rFonts w:asciiTheme="minorHAnsi" w:hAnsiTheme="minorHAnsi" w:cstheme="minorHAnsi"/>
          <w:color w:val="545459"/>
          <w:sz w:val="18"/>
          <w:szCs w:val="18"/>
          <w:lang w:val="en-AU"/>
        </w:rPr>
        <w:t>The information in this document is general in nature and does not constitute legal advice.</w:t>
      </w:r>
    </w:p>
    <w:p w14:paraId="48A76FB3" w14:textId="5E6FF4CE" w:rsidR="005754AC" w:rsidRPr="00E606BA" w:rsidRDefault="005754AC" w:rsidP="005754AC">
      <w:pPr>
        <w:widowControl w:val="0"/>
        <w:tabs>
          <w:tab w:val="left" w:pos="284"/>
          <w:tab w:val="left" w:pos="709"/>
        </w:tabs>
        <w:suppressAutoHyphens/>
        <w:autoSpaceDE w:val="0"/>
        <w:autoSpaceDN w:val="0"/>
        <w:adjustRightInd w:val="0"/>
        <w:spacing w:after="120"/>
        <w:textAlignment w:val="center"/>
        <w:rPr>
          <w:rFonts w:asciiTheme="minorHAnsi" w:hAnsiTheme="minorHAnsi" w:cstheme="minorHAnsi"/>
          <w:color w:val="545459"/>
          <w:sz w:val="18"/>
          <w:szCs w:val="18"/>
          <w:lang w:val="en-AU"/>
        </w:rPr>
      </w:pPr>
      <w:r w:rsidRPr="00E606BA">
        <w:rPr>
          <w:rFonts w:asciiTheme="minorHAnsi" w:hAnsiTheme="minorHAnsi" w:cstheme="minorHAnsi"/>
          <w:b/>
          <w:bCs/>
          <w:color w:val="545459"/>
          <w:sz w:val="18"/>
          <w:szCs w:val="18"/>
          <w:lang w:val="en-AU"/>
        </w:rPr>
        <w:t>Version:</w:t>
      </w:r>
      <w:r w:rsidRPr="00E606BA">
        <w:rPr>
          <w:rFonts w:asciiTheme="minorHAnsi" w:hAnsiTheme="minorHAnsi" w:cstheme="minorHAnsi"/>
          <w:color w:val="545459"/>
          <w:sz w:val="18"/>
          <w:szCs w:val="18"/>
          <w:lang w:val="en-AU"/>
        </w:rPr>
        <w:t xml:space="preserve"> </w:t>
      </w:r>
      <w:r w:rsidR="00E606BA" w:rsidRPr="00E606BA">
        <w:rPr>
          <w:rFonts w:asciiTheme="minorHAnsi" w:hAnsiTheme="minorHAnsi" w:cstheme="minorHAnsi"/>
          <w:color w:val="545459"/>
          <w:sz w:val="18"/>
          <w:szCs w:val="18"/>
          <w:lang w:val="en-AU"/>
        </w:rPr>
        <w:t>1.0</w:t>
      </w:r>
      <w:r w:rsidRPr="00E606BA">
        <w:rPr>
          <w:rFonts w:asciiTheme="minorHAnsi" w:hAnsiTheme="minorHAnsi" w:cstheme="minorHAnsi"/>
          <w:color w:val="545459"/>
          <w:sz w:val="18"/>
          <w:szCs w:val="18"/>
          <w:lang w:val="en-AU"/>
        </w:rPr>
        <w:t xml:space="preserve">, </w:t>
      </w:r>
      <w:r w:rsidR="00E606BA" w:rsidRPr="00E606BA">
        <w:rPr>
          <w:rFonts w:asciiTheme="minorHAnsi" w:hAnsiTheme="minorHAnsi" w:cstheme="minorHAnsi"/>
          <w:color w:val="545459"/>
          <w:sz w:val="18"/>
          <w:szCs w:val="18"/>
          <w:lang w:val="en-AU"/>
        </w:rPr>
        <w:t>September 2019</w:t>
      </w:r>
    </w:p>
    <w:sectPr w:rsidR="005754AC" w:rsidRPr="00E606BA" w:rsidSect="005754AC">
      <w:footerReference w:type="default" r:id="rId8"/>
      <w:headerReference w:type="first" r:id="rId9"/>
      <w:footerReference w:type="first" r:id="rId10"/>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9A53" w14:textId="77777777" w:rsidR="00A36C9E" w:rsidRDefault="00A36C9E" w:rsidP="00B53C78">
      <w:r>
        <w:separator/>
      </w:r>
    </w:p>
  </w:endnote>
  <w:endnote w:type="continuationSeparator" w:id="0">
    <w:p w14:paraId="7852617F" w14:textId="77777777" w:rsidR="00A36C9E" w:rsidRDefault="00A36C9E"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0B7"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0DEB"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D7B70" w14:textId="77777777" w:rsidR="00A36C9E" w:rsidRPr="002330E8" w:rsidRDefault="00A36C9E">
      <w:pPr>
        <w:rPr>
          <w:color w:val="55565A"/>
          <w:sz w:val="22"/>
          <w:szCs w:val="22"/>
        </w:rPr>
      </w:pPr>
      <w:r w:rsidRPr="002330E8">
        <w:rPr>
          <w:color w:val="55565A"/>
          <w:sz w:val="22"/>
          <w:szCs w:val="22"/>
        </w:rPr>
        <w:separator/>
      </w:r>
    </w:p>
  </w:footnote>
  <w:footnote w:type="continuationSeparator" w:id="0">
    <w:p w14:paraId="6C1543CD" w14:textId="77777777" w:rsidR="00A36C9E" w:rsidRDefault="00A36C9E" w:rsidP="00B53C78">
      <w:r>
        <w:continuationSeparator/>
      </w:r>
    </w:p>
  </w:footnote>
  <w:footnote w:type="continuationNotice" w:id="1">
    <w:p w14:paraId="7FDDDB7E" w14:textId="77777777" w:rsidR="00A36C9E" w:rsidRDefault="00A36C9E"/>
  </w:footnote>
  <w:footnote w:id="2">
    <w:p w14:paraId="22722A3C" w14:textId="2ACC7A69" w:rsidR="002330E8" w:rsidRPr="007633AE" w:rsidRDefault="002330E8" w:rsidP="002330E8">
      <w:pPr>
        <w:pStyle w:val="FootnoteText"/>
        <w:rPr>
          <w:color w:val="55565A"/>
          <w:sz w:val="16"/>
          <w:szCs w:val="16"/>
          <w:lang w:val="en-AU"/>
        </w:rPr>
      </w:pPr>
      <w:r w:rsidRPr="007633AE">
        <w:rPr>
          <w:rStyle w:val="FootnoteReference"/>
          <w:color w:val="55565A"/>
          <w:sz w:val="16"/>
          <w:szCs w:val="16"/>
        </w:rPr>
        <w:footnoteRef/>
      </w:r>
      <w:r w:rsidRPr="007633AE">
        <w:rPr>
          <w:color w:val="55565A"/>
          <w:sz w:val="16"/>
          <w:szCs w:val="16"/>
        </w:rPr>
        <w:t xml:space="preserve"> For further information on valid requests </w:t>
      </w:r>
      <w:r>
        <w:rPr>
          <w:color w:val="55565A"/>
          <w:sz w:val="16"/>
          <w:szCs w:val="16"/>
        </w:rPr>
        <w:t>s</w:t>
      </w:r>
      <w:r w:rsidRPr="007633AE">
        <w:rPr>
          <w:color w:val="55565A"/>
          <w:sz w:val="16"/>
          <w:szCs w:val="16"/>
        </w:rPr>
        <w:t xml:space="preserve">ee Practice Note </w:t>
      </w:r>
      <w:r w:rsidR="0031241E">
        <w:rPr>
          <w:color w:val="55565A"/>
          <w:sz w:val="16"/>
          <w:szCs w:val="16"/>
        </w:rPr>
        <w:t>3</w:t>
      </w:r>
      <w:r>
        <w:rPr>
          <w:color w:val="55565A"/>
          <w:sz w:val="16"/>
          <w:szCs w:val="16"/>
        </w:rPr>
        <w:t>.</w:t>
      </w:r>
    </w:p>
  </w:footnote>
  <w:footnote w:id="3">
    <w:p w14:paraId="10CB0FE6" w14:textId="77777777" w:rsidR="002330E8" w:rsidRPr="007633AE" w:rsidRDefault="002330E8" w:rsidP="002330E8">
      <w:pPr>
        <w:pStyle w:val="FootnoteText"/>
        <w:rPr>
          <w:color w:val="55565A"/>
          <w:sz w:val="16"/>
          <w:szCs w:val="16"/>
          <w:lang w:val="en-AU"/>
        </w:rPr>
      </w:pPr>
      <w:r w:rsidRPr="00EA39C0">
        <w:rPr>
          <w:rStyle w:val="FootnoteReference"/>
          <w:color w:val="55565A"/>
          <w:sz w:val="16"/>
          <w:szCs w:val="16"/>
        </w:rPr>
        <w:footnoteRef/>
      </w:r>
      <w:r w:rsidRPr="00EA39C0">
        <w:rPr>
          <w:color w:val="55565A"/>
          <w:sz w:val="16"/>
          <w:szCs w:val="16"/>
        </w:rPr>
        <w:t xml:space="preserve"> See section 44(3) of the </w:t>
      </w:r>
      <w:r w:rsidRPr="00EA39C0">
        <w:rPr>
          <w:i/>
          <w:iCs/>
          <w:color w:val="55565A"/>
          <w:sz w:val="16"/>
          <w:szCs w:val="16"/>
        </w:rPr>
        <w:t>Interpretation of Legislation Act 1984</w:t>
      </w:r>
      <w:r w:rsidRPr="00EA39C0">
        <w:rPr>
          <w:color w:val="55565A"/>
          <w:sz w:val="16"/>
          <w:szCs w:val="16"/>
        </w:rPr>
        <w:t xml:space="preserve"> (Vic).</w:t>
      </w:r>
    </w:p>
  </w:footnote>
  <w:footnote w:id="4">
    <w:p w14:paraId="592DA4B3" w14:textId="3D7E05A7" w:rsidR="002330E8" w:rsidRPr="006C6B5C" w:rsidRDefault="002330E8" w:rsidP="002330E8">
      <w:pPr>
        <w:pStyle w:val="FootnoteText"/>
        <w:rPr>
          <w:lang w:val="en-AU"/>
        </w:rPr>
      </w:pPr>
      <w:r w:rsidRPr="007633AE">
        <w:rPr>
          <w:rStyle w:val="FootnoteReference"/>
          <w:color w:val="55565A"/>
          <w:sz w:val="16"/>
          <w:szCs w:val="16"/>
        </w:rPr>
        <w:footnoteRef/>
      </w:r>
      <w:r w:rsidRPr="007633AE">
        <w:rPr>
          <w:color w:val="55565A"/>
          <w:sz w:val="16"/>
          <w:szCs w:val="16"/>
        </w:rPr>
        <w:t xml:space="preserve"> </w:t>
      </w:r>
      <w:r>
        <w:rPr>
          <w:color w:val="55565A"/>
          <w:sz w:val="16"/>
          <w:szCs w:val="16"/>
        </w:rPr>
        <w:t>For further information on practicability s</w:t>
      </w:r>
      <w:r w:rsidRPr="007633AE">
        <w:rPr>
          <w:color w:val="55565A"/>
          <w:sz w:val="16"/>
          <w:szCs w:val="16"/>
        </w:rPr>
        <w:t xml:space="preserve">ee Practice Note </w:t>
      </w:r>
      <w:r w:rsidR="0031241E">
        <w:rPr>
          <w:color w:val="55565A"/>
          <w:sz w:val="16"/>
          <w:szCs w:val="16"/>
        </w:rPr>
        <w:t>12</w:t>
      </w:r>
      <w:r w:rsidRPr="007633AE">
        <w:rPr>
          <w:color w:val="55565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43D9" w14:textId="785AE21B" w:rsidR="005754AC" w:rsidRPr="008C301D"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8"/>
        <w:szCs w:val="18"/>
      </w:rPr>
    </w:pPr>
    <w:r>
      <w:rPr>
        <w:noProof/>
        <w:color w:val="7F7F7F"/>
        <w:sz w:val="28"/>
        <w:szCs w:val="28"/>
        <w:lang w:val="en-AU" w:eastAsia="en-AU"/>
      </w:rPr>
      <w:drawing>
        <wp:anchor distT="0" distB="0" distL="114300" distR="114300" simplePos="0" relativeHeight="251659264" behindDoc="1" locked="0" layoutInCell="1" allowOverlap="1" wp14:anchorId="0D2D12FD" wp14:editId="153E1AA7">
          <wp:simplePos x="0" y="0"/>
          <wp:positionH relativeFrom="column">
            <wp:posOffset>-2116</wp:posOffset>
          </wp:positionH>
          <wp:positionV relativeFrom="paragraph">
            <wp:posOffset>3175</wp:posOffset>
          </wp:positionV>
          <wp:extent cx="1252570" cy="576000"/>
          <wp:effectExtent l="0" t="0" r="5080" b="0"/>
          <wp:wrapThrough wrapText="bothSides">
            <wp:wrapPolygon edited="0">
              <wp:start x="0" y="0"/>
              <wp:lineTo x="0" y="20957"/>
              <wp:lineTo x="21469" y="20957"/>
              <wp:lineTo x="21469"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7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97E04">
      <w:rPr>
        <w:rFonts w:asciiTheme="minorHAnsi" w:hAnsiTheme="minorHAnsi" w:cstheme="minorHAnsi"/>
        <w:color w:val="55565A"/>
        <w:sz w:val="18"/>
        <w:szCs w:val="18"/>
      </w:rPr>
      <w:t xml:space="preserve">Agency Practice Note </w:t>
    </w:r>
    <w:r w:rsidR="0031241E">
      <w:rPr>
        <w:rFonts w:asciiTheme="minorHAnsi" w:hAnsiTheme="minorHAnsi" w:cstheme="minorHAnsi"/>
        <w:color w:val="55565A"/>
        <w:sz w:val="18"/>
        <w:szCs w:val="18"/>
      </w:rPr>
      <w:t>8</w:t>
    </w:r>
  </w:p>
  <w:p w14:paraId="2E66D165" w14:textId="77777777" w:rsidR="005754AC" w:rsidRPr="008C301D" w:rsidRDefault="005754AC"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8"/>
        <w:szCs w:val="18"/>
      </w:rPr>
    </w:pPr>
    <w:r w:rsidRPr="008C301D">
      <w:rPr>
        <w:rFonts w:asciiTheme="minorHAnsi" w:hAnsiTheme="minorHAnsi" w:cstheme="minorHAnsi"/>
        <w:color w:val="430098"/>
        <w:sz w:val="18"/>
        <w:szCs w:val="18"/>
      </w:rPr>
      <w:t>Freedom of Information</w:t>
    </w:r>
  </w:p>
  <w:p w14:paraId="397BE94E" w14:textId="77777777" w:rsidR="005754AC" w:rsidRDefault="005754AC" w:rsidP="005754AC">
    <w:pPr>
      <w:pStyle w:val="Header"/>
      <w:tabs>
        <w:tab w:val="clear" w:pos="4513"/>
        <w:tab w:val="left" w:pos="5245"/>
      </w:tabs>
      <w:spacing w:after="200"/>
      <w:ind w:right="-6"/>
      <w:jc w:val="right"/>
      <w:rPr>
        <w:rFonts w:asciiTheme="minorHAnsi" w:hAnsiTheme="minorHAnsi" w:cstheme="minorHAnsi"/>
        <w:color w:val="555559"/>
        <w:sz w:val="18"/>
        <w:szCs w:val="18"/>
      </w:rPr>
    </w:pPr>
    <w:r w:rsidRPr="008C301D">
      <w:rPr>
        <w:rFonts w:asciiTheme="minorHAnsi" w:hAnsiTheme="minorHAnsi" w:cstheme="minorHAnsi"/>
        <w:color w:val="7F7F7F"/>
        <w:sz w:val="18"/>
        <w:szCs w:val="18"/>
      </w:rPr>
      <w:tab/>
    </w:r>
    <w:r w:rsidRPr="008C301D">
      <w:rPr>
        <w:rFonts w:asciiTheme="minorHAnsi" w:hAnsiTheme="minorHAnsi" w:cstheme="minorHAnsi"/>
        <w:color w:val="555559"/>
        <w:sz w:val="18"/>
        <w:szCs w:val="18"/>
      </w:rPr>
      <w:t>ovic.vic.gov.au |</w:t>
    </w:r>
    <w:r>
      <w:rPr>
        <w:rFonts w:asciiTheme="minorHAnsi" w:hAnsiTheme="minorHAnsi" w:cstheme="minorHAnsi"/>
        <w:color w:val="555559"/>
        <w:sz w:val="18"/>
        <w:szCs w:val="18"/>
      </w:rPr>
      <w:t xml:space="preserve"> </w:t>
    </w:r>
    <w:r w:rsidRPr="008C301D">
      <w:rPr>
        <w:rFonts w:asciiTheme="minorHAnsi" w:hAnsiTheme="minorHAnsi" w:cstheme="minorHAnsi"/>
        <w:color w:val="7F7F7F"/>
        <w:sz w:val="18"/>
        <w:szCs w:val="18"/>
      </w:rPr>
      <w:tab/>
    </w:r>
    <w:r w:rsidRPr="008C301D">
      <w:rPr>
        <w:rFonts w:asciiTheme="minorHAnsi" w:hAnsiTheme="minorHAnsi" w:cstheme="minorHAnsi"/>
        <w:color w:val="55565A"/>
        <w:sz w:val="18"/>
        <w:szCs w:val="18"/>
      </w:rPr>
      <w:t>enquiries@ovic.vic.gov.au</w:t>
    </w:r>
    <w:r w:rsidRPr="008C301D">
      <w:rPr>
        <w:rFonts w:asciiTheme="minorHAnsi" w:hAnsiTheme="minorHAnsi" w:cstheme="minorHAnsi"/>
        <w:color w:val="555559"/>
        <w:sz w:val="18"/>
        <w:szCs w:val="18"/>
      </w:rPr>
      <w:t xml:space="preserve"> | 1300 006 842</w:t>
    </w:r>
  </w:p>
  <w:p w14:paraId="61B23877"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0A9128A0" wp14:editId="7DD03F30">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7"/>
  </w:num>
  <w:num w:numId="6">
    <w:abstractNumId w:val="8"/>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61"/>
    <w:rsid w:val="00001D44"/>
    <w:rsid w:val="00064688"/>
    <w:rsid w:val="00077961"/>
    <w:rsid w:val="00091CB4"/>
    <w:rsid w:val="000C09CC"/>
    <w:rsid w:val="000E7FAE"/>
    <w:rsid w:val="000F3A12"/>
    <w:rsid w:val="001159CB"/>
    <w:rsid w:val="0012374C"/>
    <w:rsid w:val="00164A42"/>
    <w:rsid w:val="00173F40"/>
    <w:rsid w:val="0017786A"/>
    <w:rsid w:val="001967FD"/>
    <w:rsid w:val="001C6E4B"/>
    <w:rsid w:val="002330E8"/>
    <w:rsid w:val="0024071F"/>
    <w:rsid w:val="0025217E"/>
    <w:rsid w:val="00261684"/>
    <w:rsid w:val="00293DDA"/>
    <w:rsid w:val="002A48A0"/>
    <w:rsid w:val="002B614D"/>
    <w:rsid w:val="003020DA"/>
    <w:rsid w:val="00305D40"/>
    <w:rsid w:val="0031241E"/>
    <w:rsid w:val="00320B70"/>
    <w:rsid w:val="00322784"/>
    <w:rsid w:val="00326E58"/>
    <w:rsid w:val="00330030"/>
    <w:rsid w:val="0034520D"/>
    <w:rsid w:val="00345731"/>
    <w:rsid w:val="00370F3D"/>
    <w:rsid w:val="00372C3E"/>
    <w:rsid w:val="00384F15"/>
    <w:rsid w:val="003A0F3A"/>
    <w:rsid w:val="003A7085"/>
    <w:rsid w:val="003C6D10"/>
    <w:rsid w:val="00406248"/>
    <w:rsid w:val="0043156F"/>
    <w:rsid w:val="00436C00"/>
    <w:rsid w:val="00453B44"/>
    <w:rsid w:val="00465B05"/>
    <w:rsid w:val="00470E39"/>
    <w:rsid w:val="0047248D"/>
    <w:rsid w:val="00476315"/>
    <w:rsid w:val="004A33DA"/>
    <w:rsid w:val="004D1C82"/>
    <w:rsid w:val="004D4448"/>
    <w:rsid w:val="00502CD1"/>
    <w:rsid w:val="00542947"/>
    <w:rsid w:val="00555602"/>
    <w:rsid w:val="005754AC"/>
    <w:rsid w:val="005848E3"/>
    <w:rsid w:val="005870C5"/>
    <w:rsid w:val="005D01F3"/>
    <w:rsid w:val="006120B5"/>
    <w:rsid w:val="00620FD8"/>
    <w:rsid w:val="00635E9F"/>
    <w:rsid w:val="00652D6F"/>
    <w:rsid w:val="00662FFB"/>
    <w:rsid w:val="006713D1"/>
    <w:rsid w:val="00674485"/>
    <w:rsid w:val="006876B7"/>
    <w:rsid w:val="006B1C0F"/>
    <w:rsid w:val="007140E5"/>
    <w:rsid w:val="00717657"/>
    <w:rsid w:val="00723ACA"/>
    <w:rsid w:val="00760DDC"/>
    <w:rsid w:val="00765158"/>
    <w:rsid w:val="00776737"/>
    <w:rsid w:val="00780584"/>
    <w:rsid w:val="007862E0"/>
    <w:rsid w:val="00786837"/>
    <w:rsid w:val="007A6964"/>
    <w:rsid w:val="008046F8"/>
    <w:rsid w:val="00806B62"/>
    <w:rsid w:val="00854716"/>
    <w:rsid w:val="00856EDC"/>
    <w:rsid w:val="00863040"/>
    <w:rsid w:val="0086734F"/>
    <w:rsid w:val="008721FC"/>
    <w:rsid w:val="008B4992"/>
    <w:rsid w:val="008B7923"/>
    <w:rsid w:val="008C301D"/>
    <w:rsid w:val="008F106C"/>
    <w:rsid w:val="0092276F"/>
    <w:rsid w:val="00922C7A"/>
    <w:rsid w:val="00940F43"/>
    <w:rsid w:val="00A26740"/>
    <w:rsid w:val="00A33D6F"/>
    <w:rsid w:val="00A36C9E"/>
    <w:rsid w:val="00A44479"/>
    <w:rsid w:val="00A92625"/>
    <w:rsid w:val="00AD2C19"/>
    <w:rsid w:val="00AE13A1"/>
    <w:rsid w:val="00B04B43"/>
    <w:rsid w:val="00B177DA"/>
    <w:rsid w:val="00B316BE"/>
    <w:rsid w:val="00B32753"/>
    <w:rsid w:val="00B339BB"/>
    <w:rsid w:val="00B37C5F"/>
    <w:rsid w:val="00B53C78"/>
    <w:rsid w:val="00BA770C"/>
    <w:rsid w:val="00BC1972"/>
    <w:rsid w:val="00BD07DC"/>
    <w:rsid w:val="00BD5AE9"/>
    <w:rsid w:val="00BE3022"/>
    <w:rsid w:val="00C42986"/>
    <w:rsid w:val="00C473B0"/>
    <w:rsid w:val="00C62A45"/>
    <w:rsid w:val="00C9198C"/>
    <w:rsid w:val="00C922DD"/>
    <w:rsid w:val="00CB4387"/>
    <w:rsid w:val="00CE7458"/>
    <w:rsid w:val="00D20E2C"/>
    <w:rsid w:val="00D214C2"/>
    <w:rsid w:val="00D267EC"/>
    <w:rsid w:val="00D32D00"/>
    <w:rsid w:val="00D723C1"/>
    <w:rsid w:val="00D97E04"/>
    <w:rsid w:val="00DA234D"/>
    <w:rsid w:val="00DB13A1"/>
    <w:rsid w:val="00DB55DB"/>
    <w:rsid w:val="00DE73F6"/>
    <w:rsid w:val="00E45B00"/>
    <w:rsid w:val="00E55C61"/>
    <w:rsid w:val="00E606BA"/>
    <w:rsid w:val="00E66BA5"/>
    <w:rsid w:val="00E86019"/>
    <w:rsid w:val="00EA1B53"/>
    <w:rsid w:val="00EB03B3"/>
    <w:rsid w:val="00EF06C1"/>
    <w:rsid w:val="00EF553E"/>
    <w:rsid w:val="00EF65B2"/>
    <w:rsid w:val="00F17578"/>
    <w:rsid w:val="00F26671"/>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77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B04B43"/>
    <w:pPr>
      <w:suppressAutoHyphens/>
      <w:spacing w:after="200" w:line="264" w:lineRule="auto"/>
    </w:pPr>
    <w:rPr>
      <w:rFonts w:ascii="Calibri" w:hAnsi="Calibri" w:cs="PostGrotesk-Book"/>
      <w:color w:val="55565A"/>
      <w:sz w:val="22"/>
      <w:szCs w:val="22"/>
    </w:rPr>
  </w:style>
  <w:style w:type="paragraph" w:customStyle="1" w:styleId="Heading-1">
    <w:name w:val="Heading-1"/>
    <w:basedOn w:val="BasicParagraph"/>
    <w:autoRedefine/>
    <w:qFormat/>
    <w:rsid w:val="00B04B43"/>
    <w:pPr>
      <w:suppressAutoHyphens/>
      <w:spacing w:after="200" w:line="264" w:lineRule="auto"/>
    </w:pPr>
    <w:rPr>
      <w:rFonts w:ascii="Calibri" w:hAnsi="Calibri" w:cs="PostGrotesk-Medium"/>
      <w:color w:val="430098"/>
      <w:sz w:val="26"/>
      <w:szCs w:val="28"/>
      <w:lang w:val="en-AU"/>
    </w:rPr>
  </w:style>
  <w:style w:type="paragraph" w:customStyle="1" w:styleId="Heading-2">
    <w:name w:val="Heading-2"/>
    <w:basedOn w:val="BasicParagraph"/>
    <w:qFormat/>
    <w:rsid w:val="00B04B43"/>
    <w:pPr>
      <w:suppressAutoHyphens/>
      <w:spacing w:after="200" w:line="264" w:lineRule="auto"/>
    </w:pPr>
    <w:rPr>
      <w:rFonts w:ascii="Calibri" w:hAnsi="Calibri" w:cs="PostGrotesk-Medium"/>
      <w:b/>
      <w:color w:val="55565A"/>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B04B43"/>
    <w:pPr>
      <w:tabs>
        <w:tab w:val="clear" w:pos="9026"/>
        <w:tab w:val="left" w:pos="6946"/>
      </w:tabs>
      <w:spacing w:before="60" w:after="200"/>
    </w:pPr>
    <w:rPr>
      <w:rFonts w:asciiTheme="minorHAnsi" w:hAnsiTheme="minorHAnsi" w:cs="Arial"/>
      <w:b/>
      <w:color w:val="430098"/>
      <w:sz w:val="30"/>
      <w:szCs w:val="40"/>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qFormat/>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8BC80-3ADB-8848-9CF7-73D8744D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2019-07-23T01:36:00Z</cp:lastPrinted>
  <dcterms:created xsi:type="dcterms:W3CDTF">2019-07-23T05:37:00Z</dcterms:created>
  <dcterms:modified xsi:type="dcterms:W3CDTF">2019-09-25T00:33:00Z</dcterms:modified>
</cp:coreProperties>
</file>