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6179" w14:textId="45E958B0" w:rsidR="007C7E34" w:rsidRDefault="009743A8" w:rsidP="009743A8">
      <w:pPr>
        <w:pStyle w:val="SectionHeading1"/>
        <w:rPr>
          <w:rFonts w:cs="PostGrotesk-Book"/>
          <w:bCs/>
          <w:color w:val="55565A"/>
          <w:sz w:val="22"/>
          <w:szCs w:val="22"/>
          <w:lang w:val="en-AU"/>
        </w:rPr>
      </w:pPr>
      <w:r>
        <w:rPr>
          <w:rFonts w:cs="PostGrotesk-Book"/>
          <w:bCs/>
          <w:color w:val="55565A"/>
          <w:sz w:val="22"/>
          <w:szCs w:val="22"/>
          <w:lang w:val="en-AU"/>
        </w:rPr>
        <w:t xml:space="preserve">In this case, Mr </w:t>
      </w:r>
      <w:proofErr w:type="spellStart"/>
      <w:r>
        <w:rPr>
          <w:rFonts w:cs="PostGrotesk-Book"/>
          <w:bCs/>
          <w:color w:val="55565A"/>
          <w:sz w:val="22"/>
          <w:szCs w:val="22"/>
          <w:lang w:val="en-AU"/>
        </w:rPr>
        <w:t>Visho</w:t>
      </w:r>
      <w:proofErr w:type="spellEnd"/>
      <w:r>
        <w:rPr>
          <w:rFonts w:cs="PostGrotesk-Book"/>
          <w:bCs/>
          <w:color w:val="55565A"/>
          <w:sz w:val="22"/>
          <w:szCs w:val="22"/>
          <w:lang w:val="en-AU"/>
        </w:rPr>
        <w:t xml:space="preserve"> </w:t>
      </w:r>
      <w:proofErr w:type="spellStart"/>
      <w:r>
        <w:rPr>
          <w:rFonts w:cs="PostGrotesk-Book"/>
          <w:bCs/>
          <w:color w:val="55565A"/>
          <w:sz w:val="22"/>
          <w:szCs w:val="22"/>
          <w:lang w:val="en-AU"/>
        </w:rPr>
        <w:t>Ze</w:t>
      </w:r>
      <w:r w:rsidR="00F636FD">
        <w:rPr>
          <w:rFonts w:cs="PostGrotesk-Book"/>
          <w:bCs/>
          <w:color w:val="55565A"/>
          <w:sz w:val="22"/>
          <w:szCs w:val="22"/>
          <w:lang w:val="en-AU"/>
        </w:rPr>
        <w:t>q</w:t>
      </w:r>
      <w:r>
        <w:rPr>
          <w:rFonts w:cs="PostGrotesk-Book"/>
          <w:bCs/>
          <w:color w:val="55565A"/>
          <w:sz w:val="22"/>
          <w:szCs w:val="22"/>
          <w:lang w:val="en-AU"/>
        </w:rPr>
        <w:t>aj</w:t>
      </w:r>
      <w:proofErr w:type="spellEnd"/>
      <w:r>
        <w:rPr>
          <w:rFonts w:cs="PostGrotesk-Book"/>
          <w:bCs/>
          <w:color w:val="55565A"/>
          <w:sz w:val="22"/>
          <w:szCs w:val="22"/>
          <w:lang w:val="en-AU"/>
        </w:rPr>
        <w:t xml:space="preserve"> (</w:t>
      </w:r>
      <w:r w:rsidRPr="00F907D7">
        <w:rPr>
          <w:rFonts w:cs="PostGrotesk-Book"/>
          <w:b/>
          <w:bCs/>
          <w:color w:val="55565A"/>
          <w:sz w:val="22"/>
          <w:szCs w:val="22"/>
          <w:lang w:val="en-AU"/>
        </w:rPr>
        <w:t>Complainant</w:t>
      </w:r>
      <w:r>
        <w:rPr>
          <w:rFonts w:cs="PostGrotesk-Book"/>
          <w:bCs/>
          <w:color w:val="55565A"/>
          <w:sz w:val="22"/>
          <w:szCs w:val="22"/>
          <w:lang w:val="en-AU"/>
        </w:rPr>
        <w:t xml:space="preserve">) alleged </w:t>
      </w:r>
      <w:r w:rsidRPr="009743A8">
        <w:rPr>
          <w:rFonts w:cs="PostGrotesk-Book"/>
          <w:bCs/>
          <w:color w:val="55565A"/>
          <w:sz w:val="22"/>
          <w:szCs w:val="22"/>
          <w:lang w:val="en-AU"/>
        </w:rPr>
        <w:t xml:space="preserve">Victoria Police </w:t>
      </w:r>
      <w:r>
        <w:rPr>
          <w:rFonts w:cs="PostGrotesk-Book"/>
          <w:bCs/>
          <w:color w:val="55565A"/>
          <w:sz w:val="22"/>
          <w:szCs w:val="22"/>
          <w:lang w:val="en-AU"/>
        </w:rPr>
        <w:t>(</w:t>
      </w:r>
      <w:r w:rsidRPr="009743A8">
        <w:rPr>
          <w:rFonts w:cs="PostGrotesk-Book"/>
          <w:b/>
          <w:bCs/>
          <w:color w:val="55565A"/>
          <w:sz w:val="22"/>
          <w:szCs w:val="22"/>
          <w:lang w:val="en-AU"/>
        </w:rPr>
        <w:t>Respondent</w:t>
      </w:r>
      <w:r>
        <w:rPr>
          <w:rFonts w:cs="PostGrotesk-Book"/>
          <w:bCs/>
          <w:color w:val="55565A"/>
          <w:sz w:val="22"/>
          <w:szCs w:val="22"/>
          <w:lang w:val="en-AU"/>
        </w:rPr>
        <w:t>)</w:t>
      </w:r>
      <w:r w:rsidRPr="007B37B7">
        <w:rPr>
          <w:rFonts w:cs="PostGrotesk-Book"/>
          <w:bCs/>
          <w:color w:val="55565A"/>
          <w:sz w:val="22"/>
          <w:szCs w:val="22"/>
          <w:lang w:val="en-AU"/>
        </w:rPr>
        <w:t xml:space="preserve"> interfered with his privacy by disclosing </w:t>
      </w:r>
      <w:r>
        <w:rPr>
          <w:rFonts w:cs="PostGrotesk-Book"/>
          <w:bCs/>
          <w:color w:val="55565A"/>
          <w:sz w:val="22"/>
          <w:szCs w:val="22"/>
          <w:lang w:val="en-AU"/>
        </w:rPr>
        <w:t xml:space="preserve">personal and </w:t>
      </w:r>
      <w:r w:rsidRPr="007B37B7">
        <w:rPr>
          <w:rFonts w:cs="PostGrotesk-Book"/>
          <w:bCs/>
          <w:color w:val="55565A"/>
          <w:sz w:val="22"/>
          <w:szCs w:val="22"/>
          <w:lang w:val="en-AU"/>
        </w:rPr>
        <w:t>sensitive information about him to third parties</w:t>
      </w:r>
      <w:r>
        <w:rPr>
          <w:rFonts w:cs="PostGrotesk-Book"/>
          <w:bCs/>
          <w:color w:val="55565A"/>
          <w:sz w:val="22"/>
          <w:szCs w:val="22"/>
          <w:lang w:val="en-AU"/>
        </w:rPr>
        <w:t xml:space="preserve">.  </w:t>
      </w:r>
      <w:r w:rsidR="00193319" w:rsidRPr="009743A8">
        <w:rPr>
          <w:rFonts w:cs="PostGrotesk-Book"/>
          <w:bCs/>
          <w:color w:val="55565A"/>
          <w:sz w:val="22"/>
          <w:szCs w:val="22"/>
          <w:lang w:val="en-AU"/>
        </w:rPr>
        <w:t xml:space="preserve">On </w:t>
      </w:r>
      <w:r w:rsidR="00CF5CF8" w:rsidRPr="009743A8">
        <w:rPr>
          <w:rFonts w:cs="PostGrotesk-Book"/>
          <w:bCs/>
          <w:color w:val="55565A"/>
          <w:sz w:val="22"/>
          <w:szCs w:val="22"/>
          <w:lang w:val="en-AU"/>
        </w:rPr>
        <w:t>20</w:t>
      </w:r>
      <w:r w:rsidR="00193319" w:rsidRPr="009743A8">
        <w:rPr>
          <w:rFonts w:cs="PostGrotesk-Book"/>
          <w:bCs/>
          <w:color w:val="55565A"/>
          <w:sz w:val="22"/>
          <w:szCs w:val="22"/>
          <w:lang w:val="en-AU"/>
        </w:rPr>
        <w:t xml:space="preserve"> </w:t>
      </w:r>
      <w:r w:rsidR="00CF5CF8" w:rsidRPr="009743A8">
        <w:rPr>
          <w:rFonts w:cs="PostGrotesk-Book"/>
          <w:bCs/>
          <w:color w:val="55565A"/>
          <w:sz w:val="22"/>
          <w:szCs w:val="22"/>
          <w:lang w:val="en-AU"/>
        </w:rPr>
        <w:t>Novem</w:t>
      </w:r>
      <w:r w:rsidR="00193319" w:rsidRPr="009743A8">
        <w:rPr>
          <w:rFonts w:cs="PostGrotesk-Book"/>
          <w:bCs/>
          <w:color w:val="55565A"/>
          <w:sz w:val="22"/>
          <w:szCs w:val="22"/>
          <w:lang w:val="en-AU"/>
        </w:rPr>
        <w:t>ber 2018</w:t>
      </w:r>
      <w:r w:rsidR="00BA7390" w:rsidRPr="009743A8">
        <w:rPr>
          <w:rFonts w:cs="PostGrotesk-Book"/>
          <w:bCs/>
          <w:color w:val="55565A"/>
          <w:sz w:val="22"/>
          <w:szCs w:val="22"/>
          <w:lang w:val="en-AU"/>
        </w:rPr>
        <w:t>, the Victorian Civil and Administrative Tribunal (</w:t>
      </w:r>
      <w:r w:rsidR="007948C0" w:rsidRPr="009743A8">
        <w:rPr>
          <w:rFonts w:cs="PostGrotesk-Book"/>
          <w:b/>
          <w:bCs/>
          <w:color w:val="55565A"/>
          <w:sz w:val="22"/>
          <w:szCs w:val="22"/>
          <w:lang w:val="en-AU"/>
        </w:rPr>
        <w:t>VCAT</w:t>
      </w:r>
      <w:r w:rsidR="00BA7390" w:rsidRPr="009743A8">
        <w:rPr>
          <w:rFonts w:cs="PostGrotesk-Book"/>
          <w:bCs/>
          <w:color w:val="55565A"/>
          <w:sz w:val="22"/>
          <w:szCs w:val="22"/>
          <w:lang w:val="en-AU"/>
        </w:rPr>
        <w:t xml:space="preserve">) </w:t>
      </w:r>
      <w:r w:rsidR="00CF5CF8" w:rsidRPr="009743A8">
        <w:rPr>
          <w:rFonts w:cs="PostGrotesk-Book"/>
          <w:bCs/>
          <w:color w:val="55565A"/>
          <w:sz w:val="22"/>
          <w:szCs w:val="22"/>
          <w:lang w:val="en-AU"/>
        </w:rPr>
        <w:t xml:space="preserve">found </w:t>
      </w:r>
      <w:r>
        <w:rPr>
          <w:rFonts w:cs="PostGrotesk-Book"/>
          <w:bCs/>
          <w:color w:val="55565A"/>
          <w:sz w:val="22"/>
          <w:szCs w:val="22"/>
          <w:lang w:val="en-AU"/>
        </w:rPr>
        <w:t>the Respondent</w:t>
      </w:r>
      <w:r w:rsidR="007C3AE6" w:rsidRPr="009743A8">
        <w:rPr>
          <w:rFonts w:cs="PostGrotesk-Book"/>
          <w:bCs/>
          <w:color w:val="55565A"/>
          <w:sz w:val="22"/>
          <w:szCs w:val="22"/>
          <w:lang w:val="en-AU"/>
        </w:rPr>
        <w:t xml:space="preserve"> </w:t>
      </w:r>
      <w:r>
        <w:rPr>
          <w:rFonts w:cs="PostGrotesk-Book"/>
          <w:bCs/>
          <w:color w:val="55565A"/>
          <w:sz w:val="22"/>
          <w:szCs w:val="22"/>
          <w:lang w:val="en-AU"/>
        </w:rPr>
        <w:t>did not breach</w:t>
      </w:r>
      <w:r w:rsidR="00B551E8" w:rsidRPr="009743A8">
        <w:rPr>
          <w:rFonts w:cs="PostGrotesk-Book"/>
          <w:bCs/>
          <w:color w:val="55565A"/>
          <w:sz w:val="22"/>
          <w:szCs w:val="22"/>
          <w:lang w:val="en-AU"/>
        </w:rPr>
        <w:t xml:space="preserve"> </w:t>
      </w:r>
      <w:r w:rsidR="007C3AE6" w:rsidRPr="009743A8">
        <w:rPr>
          <w:rFonts w:cs="PostGrotesk-Book"/>
          <w:bCs/>
          <w:color w:val="55565A"/>
          <w:sz w:val="22"/>
          <w:szCs w:val="22"/>
          <w:lang w:val="en-AU"/>
        </w:rPr>
        <w:t>Information Privacy Principle (</w:t>
      </w:r>
      <w:r w:rsidR="007C3AE6" w:rsidRPr="009743A8">
        <w:rPr>
          <w:rFonts w:cs="PostGrotesk-Book"/>
          <w:b/>
          <w:bCs/>
          <w:color w:val="55565A"/>
          <w:sz w:val="22"/>
          <w:szCs w:val="22"/>
          <w:lang w:val="en-AU"/>
        </w:rPr>
        <w:t>IPP</w:t>
      </w:r>
      <w:r w:rsidR="007C3AE6" w:rsidRPr="009743A8">
        <w:rPr>
          <w:rFonts w:cs="PostGrotesk-Book"/>
          <w:bCs/>
          <w:color w:val="55565A"/>
          <w:sz w:val="22"/>
          <w:szCs w:val="22"/>
          <w:lang w:val="en-AU"/>
        </w:rPr>
        <w:t xml:space="preserve">) 2.1 of Schedule 1 of the </w:t>
      </w:r>
      <w:r w:rsidR="007C3AE6" w:rsidRPr="009743A8">
        <w:rPr>
          <w:rFonts w:cs="PostGrotesk-Book"/>
          <w:bCs/>
          <w:i/>
          <w:color w:val="55565A"/>
          <w:sz w:val="22"/>
          <w:szCs w:val="22"/>
          <w:lang w:val="en-AU"/>
        </w:rPr>
        <w:t>Privacy and Data Protection Act 2014</w:t>
      </w:r>
      <w:r w:rsidR="007C3AE6" w:rsidRPr="009743A8">
        <w:rPr>
          <w:rFonts w:cs="PostGrotesk-Book"/>
          <w:bCs/>
          <w:color w:val="55565A"/>
          <w:sz w:val="22"/>
          <w:szCs w:val="22"/>
          <w:lang w:val="en-AU"/>
        </w:rPr>
        <w:t xml:space="preserve"> (Vic) (</w:t>
      </w:r>
      <w:r w:rsidR="007C3AE6" w:rsidRPr="009743A8">
        <w:rPr>
          <w:rFonts w:cs="PostGrotesk-Book"/>
          <w:b/>
          <w:bCs/>
          <w:color w:val="55565A"/>
          <w:sz w:val="22"/>
          <w:szCs w:val="22"/>
          <w:lang w:val="en-AU"/>
        </w:rPr>
        <w:t>Act</w:t>
      </w:r>
      <w:r w:rsidR="007C3AE6" w:rsidRPr="009743A8">
        <w:rPr>
          <w:rFonts w:cs="PostGrotesk-Book"/>
          <w:bCs/>
          <w:color w:val="55565A"/>
          <w:sz w:val="22"/>
          <w:szCs w:val="22"/>
          <w:lang w:val="en-AU"/>
        </w:rPr>
        <w:t>) but</w:t>
      </w:r>
      <w:r>
        <w:rPr>
          <w:rFonts w:cs="PostGrotesk-Book"/>
          <w:bCs/>
          <w:color w:val="55565A"/>
          <w:sz w:val="22"/>
          <w:szCs w:val="22"/>
          <w:lang w:val="en-AU"/>
        </w:rPr>
        <w:t xml:space="preserve"> held</w:t>
      </w:r>
      <w:r w:rsidR="007C3AE6" w:rsidRPr="009743A8">
        <w:rPr>
          <w:rFonts w:cs="PostGrotesk-Book"/>
          <w:bCs/>
          <w:color w:val="55565A"/>
          <w:sz w:val="22"/>
          <w:szCs w:val="22"/>
          <w:lang w:val="en-AU"/>
        </w:rPr>
        <w:t xml:space="preserve"> that it </w:t>
      </w:r>
      <w:r>
        <w:rPr>
          <w:rFonts w:cs="PostGrotesk-Book"/>
          <w:bCs/>
          <w:color w:val="55565A"/>
          <w:sz w:val="22"/>
          <w:szCs w:val="22"/>
          <w:lang w:val="en-AU"/>
        </w:rPr>
        <w:t>did breach</w:t>
      </w:r>
      <w:r w:rsidR="00B551E8" w:rsidRPr="009743A8">
        <w:rPr>
          <w:rFonts w:cs="PostGrotesk-Book"/>
          <w:bCs/>
          <w:color w:val="55565A"/>
          <w:sz w:val="22"/>
          <w:szCs w:val="22"/>
          <w:lang w:val="en-AU"/>
        </w:rPr>
        <w:t xml:space="preserve"> </w:t>
      </w:r>
      <w:r w:rsidR="007C3AE6" w:rsidRPr="009743A8">
        <w:rPr>
          <w:rFonts w:cs="PostGrotesk-Book"/>
          <w:bCs/>
          <w:color w:val="55565A"/>
          <w:sz w:val="22"/>
          <w:szCs w:val="22"/>
          <w:lang w:val="en-AU"/>
        </w:rPr>
        <w:t>IPP</w:t>
      </w:r>
      <w:r w:rsidR="00CF5CF8" w:rsidRPr="009743A8">
        <w:rPr>
          <w:rFonts w:cs="PostGrotesk-Book"/>
          <w:bCs/>
          <w:color w:val="55565A"/>
          <w:sz w:val="22"/>
          <w:szCs w:val="22"/>
          <w:lang w:val="en-AU"/>
        </w:rPr>
        <w:t xml:space="preserve"> 3.</w:t>
      </w:r>
      <w:r w:rsidR="007C3AE6" w:rsidRPr="009743A8">
        <w:rPr>
          <w:rFonts w:cs="PostGrotesk-Book"/>
          <w:bCs/>
          <w:color w:val="55565A"/>
          <w:sz w:val="22"/>
          <w:szCs w:val="22"/>
          <w:lang w:val="en-AU"/>
        </w:rPr>
        <w:t>1.</w:t>
      </w:r>
      <w:r w:rsidR="000B367E">
        <w:rPr>
          <w:rFonts w:cs="PostGrotesk-Book"/>
          <w:bCs/>
          <w:color w:val="55565A"/>
          <w:sz w:val="22"/>
          <w:szCs w:val="22"/>
          <w:lang w:val="en-AU"/>
        </w:rPr>
        <w:t xml:space="preserve">  </w:t>
      </w:r>
    </w:p>
    <w:p w14:paraId="7FE4CC45" w14:textId="349A6FF0" w:rsidR="00AC1F6A" w:rsidRPr="007C7E34" w:rsidRDefault="007C7E34" w:rsidP="007C7E34">
      <w:pPr>
        <w:pStyle w:val="SectionHeading1"/>
        <w:spacing w:before="120"/>
        <w:outlineLvl w:val="0"/>
        <w:rPr>
          <w:lang w:val="en-AU"/>
        </w:rPr>
      </w:pPr>
      <w:r>
        <w:rPr>
          <w:lang w:val="en-AU"/>
        </w:rPr>
        <w:t>Lessons</w:t>
      </w:r>
    </w:p>
    <w:p w14:paraId="074BE908" w14:textId="2C2F10A7" w:rsidR="004B2A46" w:rsidRDefault="00B551E8" w:rsidP="00672265">
      <w:pPr>
        <w:pStyle w:val="Body"/>
        <w:spacing w:before="120" w:after="120"/>
        <w:rPr>
          <w:bCs/>
          <w:lang w:val="en-AU"/>
        </w:rPr>
      </w:pPr>
      <w:r>
        <w:rPr>
          <w:bCs/>
          <w:lang w:val="en-AU"/>
        </w:rPr>
        <w:t xml:space="preserve">This is </w:t>
      </w:r>
      <w:r w:rsidR="002B5AB2">
        <w:rPr>
          <w:bCs/>
          <w:lang w:val="en-AU"/>
        </w:rPr>
        <w:t xml:space="preserve">a </w:t>
      </w:r>
      <w:r w:rsidR="00751FF5">
        <w:rPr>
          <w:bCs/>
          <w:lang w:val="en-AU"/>
        </w:rPr>
        <w:t xml:space="preserve">noteworthy </w:t>
      </w:r>
      <w:r w:rsidR="00B71A0E">
        <w:rPr>
          <w:bCs/>
          <w:lang w:val="en-AU"/>
        </w:rPr>
        <w:t xml:space="preserve">decision </w:t>
      </w:r>
      <w:r w:rsidR="004B2A46">
        <w:rPr>
          <w:bCs/>
          <w:lang w:val="en-AU"/>
        </w:rPr>
        <w:t xml:space="preserve">for </w:t>
      </w:r>
      <w:r w:rsidR="00751FF5">
        <w:rPr>
          <w:bCs/>
          <w:lang w:val="en-AU"/>
        </w:rPr>
        <w:t>Victorian public sector</w:t>
      </w:r>
      <w:r w:rsidR="000072E4">
        <w:rPr>
          <w:bCs/>
          <w:lang w:val="en-AU"/>
        </w:rPr>
        <w:t xml:space="preserve"> agencies</w:t>
      </w:r>
      <w:r w:rsidR="007C3AE6">
        <w:rPr>
          <w:bCs/>
          <w:lang w:val="en-AU"/>
        </w:rPr>
        <w:t xml:space="preserve"> (</w:t>
      </w:r>
      <w:r w:rsidR="007C3AE6">
        <w:rPr>
          <w:b/>
          <w:bCs/>
          <w:lang w:val="en-AU"/>
        </w:rPr>
        <w:t>VPS</w:t>
      </w:r>
      <w:r w:rsidR="000072E4">
        <w:rPr>
          <w:b/>
          <w:bCs/>
          <w:lang w:val="en-AU"/>
        </w:rPr>
        <w:t xml:space="preserve"> agencies</w:t>
      </w:r>
      <w:r w:rsidR="007C3AE6">
        <w:rPr>
          <w:bCs/>
          <w:lang w:val="en-AU"/>
        </w:rPr>
        <w:t>)</w:t>
      </w:r>
      <w:r w:rsidR="00751FF5">
        <w:rPr>
          <w:bCs/>
          <w:lang w:val="en-AU"/>
        </w:rPr>
        <w:t xml:space="preserve"> for </w:t>
      </w:r>
      <w:r w:rsidR="004B2A46">
        <w:rPr>
          <w:bCs/>
          <w:lang w:val="en-AU"/>
        </w:rPr>
        <w:t>the following reasons:</w:t>
      </w:r>
    </w:p>
    <w:p w14:paraId="665A8ECE" w14:textId="1BC3DFD7" w:rsidR="000B367E" w:rsidRPr="005C0112" w:rsidRDefault="000B367E" w:rsidP="000B367E">
      <w:pPr>
        <w:pStyle w:val="Body"/>
        <w:numPr>
          <w:ilvl w:val="0"/>
          <w:numId w:val="16"/>
        </w:numPr>
        <w:spacing w:before="120" w:after="120"/>
        <w:rPr>
          <w:bCs/>
          <w:lang w:val="en-AU"/>
        </w:rPr>
      </w:pPr>
      <w:r w:rsidRPr="005C0112">
        <w:rPr>
          <w:bCs/>
          <w:lang w:val="en-AU"/>
        </w:rPr>
        <w:t xml:space="preserve">The decision is a reminder for </w:t>
      </w:r>
      <w:r>
        <w:rPr>
          <w:bCs/>
          <w:lang w:val="en-AU"/>
        </w:rPr>
        <w:t xml:space="preserve">VPS </w:t>
      </w:r>
      <w:r w:rsidRPr="005C0112">
        <w:rPr>
          <w:bCs/>
          <w:lang w:val="en-AU"/>
        </w:rPr>
        <w:t>agencies that rely on the law</w:t>
      </w:r>
      <w:r w:rsidR="00F636FD">
        <w:rPr>
          <w:bCs/>
          <w:lang w:val="en-AU"/>
        </w:rPr>
        <w:t xml:space="preserve"> </w:t>
      </w:r>
      <w:r w:rsidRPr="005C0112">
        <w:rPr>
          <w:bCs/>
          <w:lang w:val="en-AU"/>
        </w:rPr>
        <w:t xml:space="preserve">enforcement exemption that they may only depart from the IPPs where </w:t>
      </w:r>
      <w:r>
        <w:rPr>
          <w:bCs/>
          <w:lang w:val="en-AU"/>
        </w:rPr>
        <w:t xml:space="preserve">they believe on reasonable grounds that the departure is necessary.  </w:t>
      </w:r>
    </w:p>
    <w:p w14:paraId="60BD450B" w14:textId="0DA430F5" w:rsidR="004B2A46" w:rsidRDefault="00362F36" w:rsidP="004B2A46">
      <w:pPr>
        <w:pStyle w:val="Body"/>
        <w:numPr>
          <w:ilvl w:val="0"/>
          <w:numId w:val="16"/>
        </w:numPr>
        <w:spacing w:before="120" w:after="120"/>
        <w:rPr>
          <w:bCs/>
          <w:lang w:val="en-AU"/>
        </w:rPr>
      </w:pPr>
      <w:r>
        <w:rPr>
          <w:bCs/>
          <w:lang w:val="en-AU"/>
        </w:rPr>
        <w:t>Compensation</w:t>
      </w:r>
      <w:r w:rsidR="008C18C0">
        <w:rPr>
          <w:bCs/>
          <w:lang w:val="en-AU"/>
        </w:rPr>
        <w:t xml:space="preserve"> </w:t>
      </w:r>
      <w:r w:rsidR="000B367E">
        <w:rPr>
          <w:bCs/>
          <w:lang w:val="en-AU"/>
        </w:rPr>
        <w:t xml:space="preserve">in this case </w:t>
      </w:r>
      <w:r>
        <w:rPr>
          <w:bCs/>
          <w:lang w:val="en-AU"/>
        </w:rPr>
        <w:t xml:space="preserve">was awarded </w:t>
      </w:r>
      <w:r w:rsidR="004B2A46">
        <w:rPr>
          <w:bCs/>
          <w:lang w:val="en-AU"/>
        </w:rPr>
        <w:t xml:space="preserve">where the only harm demonstrated </w:t>
      </w:r>
      <w:r>
        <w:rPr>
          <w:bCs/>
          <w:lang w:val="en-AU"/>
        </w:rPr>
        <w:t xml:space="preserve">was </w:t>
      </w:r>
      <w:r w:rsidR="004B2A46">
        <w:rPr>
          <w:bCs/>
          <w:lang w:val="en-AU"/>
        </w:rPr>
        <w:t>‘hurt feelings’</w:t>
      </w:r>
      <w:r w:rsidR="00556EED">
        <w:rPr>
          <w:bCs/>
          <w:lang w:val="en-AU"/>
        </w:rPr>
        <w:t xml:space="preserve">.  </w:t>
      </w:r>
      <w:r w:rsidR="004B2A46" w:rsidRPr="004B2A46">
        <w:rPr>
          <w:bCs/>
          <w:lang w:val="en-AU"/>
        </w:rPr>
        <w:t xml:space="preserve">Given this is the first occasion </w:t>
      </w:r>
      <w:r w:rsidR="00AE376C">
        <w:rPr>
          <w:bCs/>
          <w:lang w:val="en-AU"/>
        </w:rPr>
        <w:t>where</w:t>
      </w:r>
      <w:r w:rsidR="004B2A46" w:rsidRPr="004B2A46">
        <w:rPr>
          <w:bCs/>
          <w:lang w:val="en-AU"/>
        </w:rPr>
        <w:t xml:space="preserve"> VCAT has awarded monetary compensa</w:t>
      </w:r>
      <w:r w:rsidR="000B367E">
        <w:rPr>
          <w:bCs/>
          <w:lang w:val="en-AU"/>
        </w:rPr>
        <w:t>tion for a breach of the IPPs, it</w:t>
      </w:r>
      <w:r w:rsidR="004B2A46" w:rsidRPr="004B2A46">
        <w:rPr>
          <w:bCs/>
          <w:lang w:val="en-AU"/>
        </w:rPr>
        <w:t xml:space="preserve"> may serve as a benchmark in future privacy complaints</w:t>
      </w:r>
      <w:r w:rsidR="00556EED">
        <w:rPr>
          <w:bCs/>
          <w:lang w:val="en-AU"/>
        </w:rPr>
        <w:t xml:space="preserve"> where a similar harm </w:t>
      </w:r>
      <w:r w:rsidR="00751FF5">
        <w:rPr>
          <w:bCs/>
          <w:lang w:val="en-AU"/>
        </w:rPr>
        <w:t>is alleged</w:t>
      </w:r>
      <w:r w:rsidR="004B2A46" w:rsidRPr="004B2A46">
        <w:rPr>
          <w:bCs/>
          <w:lang w:val="en-AU"/>
        </w:rPr>
        <w:t>.</w:t>
      </w:r>
      <w:r w:rsidR="00556EED">
        <w:rPr>
          <w:bCs/>
          <w:lang w:val="en-AU"/>
        </w:rPr>
        <w:t xml:space="preserve">  </w:t>
      </w:r>
    </w:p>
    <w:p w14:paraId="2AFC9B29" w14:textId="14D426E2" w:rsidR="000B367E" w:rsidRPr="004B2A46" w:rsidRDefault="000B367E" w:rsidP="004B2A46">
      <w:pPr>
        <w:pStyle w:val="Body"/>
        <w:numPr>
          <w:ilvl w:val="0"/>
          <w:numId w:val="16"/>
        </w:numPr>
        <w:spacing w:before="120" w:after="120"/>
        <w:rPr>
          <w:bCs/>
          <w:lang w:val="en-AU"/>
        </w:rPr>
      </w:pPr>
      <w:r>
        <w:rPr>
          <w:bCs/>
          <w:lang w:val="en-AU"/>
        </w:rPr>
        <w:t>When considering whether to provide compensation to a Complainant or when assessing the quantum of any compensation in response to a privacy complaint, VPS agencies may find it helpful to refer to the general principles considered by VCAT at paragraph</w:t>
      </w:r>
      <w:r w:rsidR="00B46AAF">
        <w:rPr>
          <w:bCs/>
          <w:lang w:val="en-AU"/>
        </w:rPr>
        <w:t>s</w:t>
      </w:r>
      <w:r>
        <w:rPr>
          <w:bCs/>
          <w:lang w:val="en-AU"/>
        </w:rPr>
        <w:t xml:space="preserve"> 15</w:t>
      </w:r>
      <w:r w:rsidR="002B5AB2">
        <w:rPr>
          <w:bCs/>
          <w:lang w:val="en-AU"/>
        </w:rPr>
        <w:t>5</w:t>
      </w:r>
      <w:r w:rsidR="006B620B">
        <w:rPr>
          <w:bCs/>
          <w:lang w:val="en-AU"/>
        </w:rPr>
        <w:t xml:space="preserve"> to 158 </w:t>
      </w:r>
      <w:r>
        <w:rPr>
          <w:bCs/>
          <w:lang w:val="en-AU"/>
        </w:rPr>
        <w:t>of the decision.</w:t>
      </w:r>
    </w:p>
    <w:p w14:paraId="1F8D19AD" w14:textId="2109F4FE" w:rsidR="00AC1F6A" w:rsidRDefault="00AC1F6A" w:rsidP="004B2A46">
      <w:pPr>
        <w:pStyle w:val="Body"/>
        <w:numPr>
          <w:ilvl w:val="0"/>
          <w:numId w:val="16"/>
        </w:numPr>
        <w:spacing w:before="120" w:after="120"/>
        <w:rPr>
          <w:bCs/>
          <w:lang w:val="en-AU"/>
        </w:rPr>
      </w:pPr>
      <w:r>
        <w:rPr>
          <w:bCs/>
          <w:lang w:val="en-AU"/>
        </w:rPr>
        <w:t xml:space="preserve">The decision </w:t>
      </w:r>
      <w:r w:rsidR="00362F36">
        <w:rPr>
          <w:bCs/>
          <w:lang w:val="en-AU"/>
        </w:rPr>
        <w:t>highlights</w:t>
      </w:r>
      <w:r>
        <w:rPr>
          <w:bCs/>
          <w:lang w:val="en-AU"/>
        </w:rPr>
        <w:t xml:space="preserve"> the importance of </w:t>
      </w:r>
      <w:r w:rsidR="00556EED">
        <w:rPr>
          <w:bCs/>
          <w:lang w:val="en-AU"/>
        </w:rPr>
        <w:t xml:space="preserve">VPS agencies </w:t>
      </w:r>
      <w:r w:rsidR="00362F36">
        <w:rPr>
          <w:bCs/>
          <w:lang w:val="en-AU"/>
        </w:rPr>
        <w:t xml:space="preserve">checking </w:t>
      </w:r>
      <w:r>
        <w:rPr>
          <w:bCs/>
          <w:lang w:val="en-AU"/>
        </w:rPr>
        <w:t>the accuracy of</w:t>
      </w:r>
      <w:r w:rsidR="009F63D1">
        <w:rPr>
          <w:bCs/>
          <w:lang w:val="en-AU"/>
        </w:rPr>
        <w:t xml:space="preserve"> </w:t>
      </w:r>
      <w:r>
        <w:rPr>
          <w:bCs/>
          <w:lang w:val="en-AU"/>
        </w:rPr>
        <w:t xml:space="preserve">information about </w:t>
      </w:r>
      <w:r w:rsidR="009F63D1">
        <w:rPr>
          <w:bCs/>
          <w:lang w:val="en-AU"/>
        </w:rPr>
        <w:t>an individual</w:t>
      </w:r>
      <w:r>
        <w:rPr>
          <w:bCs/>
          <w:lang w:val="en-AU"/>
        </w:rPr>
        <w:t xml:space="preserve"> prior to disclosing it.</w:t>
      </w:r>
      <w:r w:rsidR="00F907D7">
        <w:rPr>
          <w:bCs/>
          <w:lang w:val="en-AU"/>
        </w:rPr>
        <w:t xml:space="preserve">  </w:t>
      </w:r>
    </w:p>
    <w:p w14:paraId="562669A8" w14:textId="77786DC5" w:rsidR="00BA7390" w:rsidRPr="005F0419" w:rsidRDefault="00434EC7" w:rsidP="005954DF">
      <w:pPr>
        <w:pStyle w:val="SectionHeading1"/>
        <w:spacing w:before="120"/>
        <w:outlineLvl w:val="0"/>
        <w:rPr>
          <w:lang w:val="en-AU"/>
        </w:rPr>
      </w:pPr>
      <w:r>
        <w:rPr>
          <w:lang w:val="en-AU"/>
        </w:rPr>
        <w:t>The Complaint</w:t>
      </w:r>
    </w:p>
    <w:p w14:paraId="4894A85D" w14:textId="77777777" w:rsidR="0013393D" w:rsidRPr="00521745" w:rsidRDefault="0013393D" w:rsidP="0013393D">
      <w:pPr>
        <w:pStyle w:val="Body"/>
        <w:spacing w:after="120"/>
        <w:rPr>
          <w:lang w:val="en-AU"/>
        </w:rPr>
      </w:pPr>
      <w:r w:rsidRPr="00521745">
        <w:rPr>
          <w:b/>
          <w:lang w:val="en-AU"/>
        </w:rPr>
        <w:t>The ATO disclosures</w:t>
      </w:r>
      <w:r w:rsidRPr="00521745">
        <w:rPr>
          <w:lang w:val="en-AU"/>
        </w:rPr>
        <w:t xml:space="preserve"> </w:t>
      </w:r>
    </w:p>
    <w:p w14:paraId="7FD09301" w14:textId="056014B2" w:rsidR="00963F9B" w:rsidRDefault="00963F9B" w:rsidP="00362F36">
      <w:pPr>
        <w:pStyle w:val="Body"/>
        <w:spacing w:after="120"/>
        <w:rPr>
          <w:lang w:val="en-AU"/>
        </w:rPr>
      </w:pPr>
      <w:r>
        <w:rPr>
          <w:lang w:val="en-AU"/>
        </w:rPr>
        <w:t xml:space="preserve">The Complainant </w:t>
      </w:r>
      <w:r w:rsidR="00362F36">
        <w:rPr>
          <w:lang w:val="en-AU"/>
        </w:rPr>
        <w:t xml:space="preserve">alleged that </w:t>
      </w:r>
      <w:r w:rsidR="00CE6406">
        <w:rPr>
          <w:lang w:val="en-AU"/>
        </w:rPr>
        <w:t xml:space="preserve">the Respondent </w:t>
      </w:r>
      <w:r w:rsidR="00362F36">
        <w:rPr>
          <w:lang w:val="en-AU"/>
        </w:rPr>
        <w:t>told</w:t>
      </w:r>
      <w:r w:rsidR="00CE6406">
        <w:rPr>
          <w:lang w:val="en-AU"/>
        </w:rPr>
        <w:t xml:space="preserve"> the </w:t>
      </w:r>
      <w:r w:rsidR="00797D2D">
        <w:rPr>
          <w:lang w:val="en-AU"/>
        </w:rPr>
        <w:t>Australian Taxation Office (</w:t>
      </w:r>
      <w:r w:rsidR="00CE6406" w:rsidRPr="00362F36">
        <w:rPr>
          <w:b/>
          <w:lang w:val="en-AU"/>
        </w:rPr>
        <w:t>ATO</w:t>
      </w:r>
      <w:r w:rsidR="00797D2D">
        <w:rPr>
          <w:lang w:val="en-AU"/>
        </w:rPr>
        <w:t>)</w:t>
      </w:r>
      <w:r w:rsidR="00CE6406">
        <w:rPr>
          <w:lang w:val="en-AU"/>
        </w:rPr>
        <w:t xml:space="preserve"> that </w:t>
      </w:r>
      <w:r w:rsidR="0013766C">
        <w:rPr>
          <w:lang w:val="en-AU"/>
        </w:rPr>
        <w:t>he</w:t>
      </w:r>
      <w:r>
        <w:rPr>
          <w:lang w:val="en-AU"/>
        </w:rPr>
        <w:t>:</w:t>
      </w:r>
    </w:p>
    <w:p w14:paraId="01565CBD" w14:textId="23DDC675" w:rsidR="0013393D" w:rsidRDefault="0013393D" w:rsidP="00362F36">
      <w:pPr>
        <w:pStyle w:val="Body"/>
        <w:numPr>
          <w:ilvl w:val="0"/>
          <w:numId w:val="17"/>
        </w:numPr>
        <w:spacing w:after="120"/>
        <w:rPr>
          <w:lang w:val="en-AU"/>
        </w:rPr>
      </w:pPr>
      <w:r>
        <w:rPr>
          <w:lang w:val="en-AU"/>
        </w:rPr>
        <w:t>was the subject of an investigation</w:t>
      </w:r>
      <w:r w:rsidR="00556EED">
        <w:rPr>
          <w:lang w:val="en-AU"/>
        </w:rPr>
        <w:t xml:space="preserve">.  </w:t>
      </w:r>
      <w:r w:rsidR="00C65EFF">
        <w:rPr>
          <w:lang w:val="en-AU"/>
        </w:rPr>
        <w:t xml:space="preserve">This </w:t>
      </w:r>
      <w:r w:rsidR="0013766C">
        <w:rPr>
          <w:lang w:val="en-AU"/>
        </w:rPr>
        <w:t>occurred</w:t>
      </w:r>
      <w:r w:rsidR="00797D2D">
        <w:rPr>
          <w:lang w:val="en-AU"/>
        </w:rPr>
        <w:t xml:space="preserve"> when the Respondent sent a notice to the ATO requesting information about the Complainant</w:t>
      </w:r>
      <w:r w:rsidR="00CE6406">
        <w:rPr>
          <w:lang w:val="en-AU"/>
        </w:rPr>
        <w:t xml:space="preserve"> in 2011</w:t>
      </w:r>
      <w:r w:rsidR="00963F9B">
        <w:rPr>
          <w:lang w:val="en-AU"/>
        </w:rPr>
        <w:t>; and</w:t>
      </w:r>
    </w:p>
    <w:p w14:paraId="7BD33CEC" w14:textId="502C770E" w:rsidR="00797D2D" w:rsidRPr="00797D2D" w:rsidRDefault="0013393D" w:rsidP="004B2A46">
      <w:pPr>
        <w:pStyle w:val="Body"/>
        <w:numPr>
          <w:ilvl w:val="0"/>
          <w:numId w:val="17"/>
        </w:numPr>
        <w:spacing w:after="120"/>
        <w:rPr>
          <w:lang w:val="en-AU"/>
        </w:rPr>
      </w:pPr>
      <w:r>
        <w:rPr>
          <w:lang w:val="en-AU"/>
        </w:rPr>
        <w:t>had been identified as being involved in the cultivation, distribution and sale of cannabis</w:t>
      </w:r>
      <w:r w:rsidR="00556EED">
        <w:rPr>
          <w:lang w:val="en-AU"/>
        </w:rPr>
        <w:t xml:space="preserve">.  </w:t>
      </w:r>
      <w:r w:rsidR="00797D2D">
        <w:rPr>
          <w:lang w:val="en-AU"/>
        </w:rPr>
        <w:t>This occurred when the Respondent responded to a request for information about the Complainant from the ATO</w:t>
      </w:r>
      <w:r w:rsidR="00CE6406">
        <w:rPr>
          <w:lang w:val="en-AU"/>
        </w:rPr>
        <w:t xml:space="preserve"> in 2012</w:t>
      </w:r>
      <w:r w:rsidR="00963F9B">
        <w:rPr>
          <w:lang w:val="en-AU"/>
        </w:rPr>
        <w:t>.</w:t>
      </w:r>
    </w:p>
    <w:p w14:paraId="7701EB22" w14:textId="2C845704" w:rsidR="0013393D" w:rsidRPr="00521745" w:rsidRDefault="0013393D" w:rsidP="0013393D">
      <w:pPr>
        <w:pStyle w:val="Body"/>
        <w:spacing w:after="120"/>
        <w:rPr>
          <w:b/>
          <w:lang w:val="en-AU"/>
        </w:rPr>
      </w:pPr>
      <w:r w:rsidRPr="00521745">
        <w:rPr>
          <w:b/>
          <w:lang w:val="en-AU"/>
        </w:rPr>
        <w:t xml:space="preserve">The Firearms </w:t>
      </w:r>
      <w:r w:rsidR="00CB3349">
        <w:rPr>
          <w:b/>
          <w:lang w:val="en-AU"/>
        </w:rPr>
        <w:t xml:space="preserve">Act </w:t>
      </w:r>
      <w:r w:rsidRPr="00521745">
        <w:rPr>
          <w:b/>
          <w:lang w:val="en-AU"/>
        </w:rPr>
        <w:t xml:space="preserve">disclosure </w:t>
      </w:r>
    </w:p>
    <w:p w14:paraId="0281CCA6" w14:textId="00D19FB7" w:rsidR="0013393D" w:rsidRDefault="00963F9B" w:rsidP="00362F36">
      <w:pPr>
        <w:pStyle w:val="Body"/>
        <w:spacing w:after="120"/>
        <w:rPr>
          <w:lang w:val="en-AU"/>
        </w:rPr>
      </w:pPr>
      <w:r>
        <w:rPr>
          <w:lang w:val="en-AU"/>
        </w:rPr>
        <w:t>The Complainant also</w:t>
      </w:r>
      <w:r w:rsidR="00F636FD">
        <w:rPr>
          <w:lang w:val="en-AU"/>
        </w:rPr>
        <w:t xml:space="preserve"> alleged</w:t>
      </w:r>
      <w:r>
        <w:rPr>
          <w:lang w:val="en-AU"/>
        </w:rPr>
        <w:t xml:space="preserve"> that in</w:t>
      </w:r>
      <w:r w:rsidR="0013393D">
        <w:rPr>
          <w:lang w:val="en-AU"/>
        </w:rPr>
        <w:t xml:space="preserve"> 2016</w:t>
      </w:r>
      <w:r>
        <w:rPr>
          <w:lang w:val="en-AU"/>
        </w:rPr>
        <w:t xml:space="preserve">, the Respondent </w:t>
      </w:r>
      <w:r w:rsidR="0013393D">
        <w:rPr>
          <w:lang w:val="en-AU"/>
        </w:rPr>
        <w:t>disclos</w:t>
      </w:r>
      <w:r w:rsidR="00C15199">
        <w:rPr>
          <w:lang w:val="en-AU"/>
        </w:rPr>
        <w:t xml:space="preserve">ed to </w:t>
      </w:r>
      <w:r w:rsidR="00C15199">
        <w:rPr>
          <w:bCs/>
          <w:lang w:val="en-AU"/>
        </w:rPr>
        <w:t xml:space="preserve">a third </w:t>
      </w:r>
      <w:r w:rsidR="00B533DF">
        <w:rPr>
          <w:bCs/>
          <w:lang w:val="en-AU"/>
        </w:rPr>
        <w:t>party</w:t>
      </w:r>
      <w:r w:rsidR="0013393D">
        <w:rPr>
          <w:lang w:val="en-AU"/>
        </w:rPr>
        <w:t xml:space="preserve"> </w:t>
      </w:r>
      <w:r w:rsidR="0013766C">
        <w:rPr>
          <w:lang w:val="en-AU"/>
        </w:rPr>
        <w:t>(a</w:t>
      </w:r>
      <w:r w:rsidR="002F4EC6">
        <w:rPr>
          <w:lang w:val="en-AU"/>
        </w:rPr>
        <w:t xml:space="preserve"> relative</w:t>
      </w:r>
      <w:r w:rsidR="0013766C">
        <w:rPr>
          <w:lang w:val="en-AU"/>
        </w:rPr>
        <w:t xml:space="preserve"> of the Complainant, </w:t>
      </w:r>
      <w:r w:rsidR="0013766C" w:rsidRPr="002F4EC6">
        <w:rPr>
          <w:b/>
          <w:lang w:val="en-AU"/>
        </w:rPr>
        <w:t>A</w:t>
      </w:r>
      <w:r w:rsidR="0013766C">
        <w:rPr>
          <w:lang w:val="en-AU"/>
        </w:rPr>
        <w:t xml:space="preserve">) </w:t>
      </w:r>
      <w:r w:rsidR="0013393D">
        <w:rPr>
          <w:lang w:val="en-AU"/>
        </w:rPr>
        <w:t xml:space="preserve">that </w:t>
      </w:r>
      <w:r>
        <w:rPr>
          <w:lang w:val="en-AU"/>
        </w:rPr>
        <w:t>the Respondent</w:t>
      </w:r>
      <w:r w:rsidR="0013393D">
        <w:rPr>
          <w:lang w:val="en-AU"/>
        </w:rPr>
        <w:t xml:space="preserve"> considered </w:t>
      </w:r>
      <w:r>
        <w:rPr>
          <w:lang w:val="en-AU"/>
        </w:rPr>
        <w:t>the Complainant</w:t>
      </w:r>
      <w:r w:rsidR="0013393D">
        <w:rPr>
          <w:lang w:val="en-AU"/>
        </w:rPr>
        <w:t xml:space="preserve"> to be a </w:t>
      </w:r>
      <w:r w:rsidR="0013393D" w:rsidRPr="00216F46">
        <w:rPr>
          <w:lang w:val="en-AU"/>
        </w:rPr>
        <w:t>‘known criminal identity’</w:t>
      </w:r>
      <w:r w:rsidR="007B37B7">
        <w:rPr>
          <w:lang w:val="en-AU"/>
        </w:rPr>
        <w:t xml:space="preserve">. The disclosure was made in the context of </w:t>
      </w:r>
      <w:r w:rsidR="001F0DC1">
        <w:rPr>
          <w:lang w:val="en-AU"/>
        </w:rPr>
        <w:t>an</w:t>
      </w:r>
      <w:r w:rsidR="007B37B7">
        <w:rPr>
          <w:lang w:val="en-AU"/>
        </w:rPr>
        <w:t xml:space="preserve"> assessment </w:t>
      </w:r>
      <w:r w:rsidR="00C15199">
        <w:rPr>
          <w:lang w:val="en-AU"/>
        </w:rPr>
        <w:t>of A’s firearms licence under the</w:t>
      </w:r>
      <w:r w:rsidR="005B59C8">
        <w:rPr>
          <w:lang w:val="en-AU"/>
        </w:rPr>
        <w:t xml:space="preserve"> </w:t>
      </w:r>
      <w:r w:rsidR="005B59C8" w:rsidRPr="009D5F0F">
        <w:rPr>
          <w:bCs/>
          <w:i/>
          <w:lang w:val="en-AU"/>
        </w:rPr>
        <w:t>Firearms Act 1996</w:t>
      </w:r>
      <w:r w:rsidR="005B59C8">
        <w:rPr>
          <w:bCs/>
          <w:lang w:val="en-AU"/>
        </w:rPr>
        <w:t xml:space="preserve"> (Vic) (</w:t>
      </w:r>
      <w:r w:rsidR="00C15199" w:rsidRPr="00362F36">
        <w:rPr>
          <w:b/>
          <w:lang w:val="en-AU"/>
        </w:rPr>
        <w:t>Firearms Act</w:t>
      </w:r>
      <w:r w:rsidR="005B59C8">
        <w:rPr>
          <w:lang w:val="en-AU"/>
        </w:rPr>
        <w:t>)</w:t>
      </w:r>
      <w:r w:rsidR="00C15199">
        <w:rPr>
          <w:lang w:val="en-AU"/>
        </w:rPr>
        <w:t xml:space="preserve">. </w:t>
      </w:r>
      <w:r w:rsidR="0013393D">
        <w:rPr>
          <w:lang w:val="en-AU"/>
        </w:rPr>
        <w:t xml:space="preserve"> </w:t>
      </w:r>
    </w:p>
    <w:p w14:paraId="32B04670" w14:textId="70A8C944" w:rsidR="007B3286" w:rsidRDefault="00797D2D">
      <w:pPr>
        <w:pStyle w:val="Body"/>
        <w:spacing w:after="120"/>
        <w:rPr>
          <w:lang w:val="en-AU"/>
        </w:rPr>
      </w:pPr>
      <w:r>
        <w:rPr>
          <w:lang w:val="en-AU"/>
        </w:rPr>
        <w:t xml:space="preserve">The Complainant became aware of the </w:t>
      </w:r>
      <w:r w:rsidR="00EF202A">
        <w:rPr>
          <w:lang w:val="en-AU"/>
        </w:rPr>
        <w:t xml:space="preserve">ATO disclosures </w:t>
      </w:r>
      <w:r w:rsidR="00633285">
        <w:rPr>
          <w:lang w:val="en-AU"/>
        </w:rPr>
        <w:t>after</w:t>
      </w:r>
      <w:r>
        <w:rPr>
          <w:lang w:val="en-AU"/>
        </w:rPr>
        <w:t xml:space="preserve"> obtaining documents from the ATO under the </w:t>
      </w:r>
      <w:r w:rsidRPr="00362F36">
        <w:rPr>
          <w:i/>
          <w:lang w:val="en-AU"/>
        </w:rPr>
        <w:t>Freedom of Information Act 1982</w:t>
      </w:r>
      <w:r w:rsidR="00556EED">
        <w:rPr>
          <w:lang w:val="en-AU"/>
        </w:rPr>
        <w:t xml:space="preserve">.  </w:t>
      </w:r>
      <w:proofErr w:type="gramStart"/>
      <w:r w:rsidR="001F0DC1">
        <w:rPr>
          <w:lang w:val="en-AU"/>
        </w:rPr>
        <w:t>A</w:t>
      </w:r>
      <w:proofErr w:type="gramEnd"/>
      <w:r w:rsidR="001F0DC1">
        <w:rPr>
          <w:lang w:val="en-AU"/>
        </w:rPr>
        <w:t xml:space="preserve"> </w:t>
      </w:r>
      <w:r w:rsidR="00B71A0E">
        <w:rPr>
          <w:lang w:val="en-AU"/>
        </w:rPr>
        <w:t>informed him</w:t>
      </w:r>
      <w:r w:rsidR="001F0DC1">
        <w:rPr>
          <w:lang w:val="en-AU"/>
        </w:rPr>
        <w:t xml:space="preserve"> of the Firearms Act disclosure</w:t>
      </w:r>
      <w:r>
        <w:rPr>
          <w:lang w:val="en-AU"/>
        </w:rPr>
        <w:t xml:space="preserve">. </w:t>
      </w:r>
    </w:p>
    <w:p w14:paraId="447506D8" w14:textId="0D633142" w:rsidR="00AC1F6A" w:rsidRDefault="00AC1F6A" w:rsidP="005954DF">
      <w:pPr>
        <w:pStyle w:val="SectionHeading1"/>
        <w:spacing w:before="120"/>
        <w:rPr>
          <w:lang w:val="en-AU"/>
        </w:rPr>
      </w:pPr>
      <w:r w:rsidRPr="00362F36">
        <w:rPr>
          <w:lang w:val="en-AU"/>
        </w:rPr>
        <w:t xml:space="preserve">The Decision </w:t>
      </w:r>
    </w:p>
    <w:p w14:paraId="0DA98EE8" w14:textId="38984AD6" w:rsidR="004B2A46" w:rsidRDefault="004B2A46" w:rsidP="005954DF">
      <w:pPr>
        <w:pStyle w:val="SectionHeading1"/>
        <w:spacing w:before="120"/>
        <w:rPr>
          <w:rFonts w:cs="PostGrotesk-Book"/>
          <w:b/>
          <w:color w:val="55565A"/>
          <w:sz w:val="22"/>
          <w:szCs w:val="22"/>
          <w:lang w:val="en-AU"/>
        </w:rPr>
      </w:pPr>
      <w:r>
        <w:rPr>
          <w:rFonts w:cs="PostGrotesk-Book"/>
          <w:b/>
          <w:color w:val="55565A"/>
          <w:sz w:val="22"/>
          <w:szCs w:val="22"/>
          <w:lang w:val="en-AU"/>
        </w:rPr>
        <w:t>The Law Enforcement Exemption</w:t>
      </w:r>
      <w:r w:rsidR="00804CC3">
        <w:rPr>
          <w:rFonts w:cs="PostGrotesk-Book"/>
          <w:b/>
          <w:color w:val="55565A"/>
          <w:sz w:val="22"/>
          <w:szCs w:val="22"/>
          <w:lang w:val="en-AU"/>
        </w:rPr>
        <w:t xml:space="preserve"> to IPP 2.1</w:t>
      </w:r>
    </w:p>
    <w:p w14:paraId="532EA823" w14:textId="6E971BB1" w:rsidR="004B2A46" w:rsidRDefault="004B2A46" w:rsidP="00362F36">
      <w:pPr>
        <w:pStyle w:val="Body"/>
        <w:spacing w:after="120"/>
        <w:rPr>
          <w:lang w:val="en-AU"/>
        </w:rPr>
      </w:pPr>
      <w:r>
        <w:rPr>
          <w:lang w:val="en-AU"/>
        </w:rPr>
        <w:lastRenderedPageBreak/>
        <w:t xml:space="preserve">The Respondent submitted the ATO disclosures fell within the law enforcement exemption under section 15(a) of the Act as they were both activities for the purposes of one or more of the Respondent’s law enforcement functions or activities.  It also submitted the Firearms </w:t>
      </w:r>
      <w:r w:rsidR="00CB3349">
        <w:rPr>
          <w:lang w:val="en-AU"/>
        </w:rPr>
        <w:t xml:space="preserve">Act </w:t>
      </w:r>
      <w:r>
        <w:rPr>
          <w:lang w:val="en-AU"/>
        </w:rPr>
        <w:t xml:space="preserve">disclosure occurred in the context of community policing activities under section 15(d) of the Act. </w:t>
      </w:r>
    </w:p>
    <w:p w14:paraId="6AE41349" w14:textId="74575460" w:rsidR="004B2A46" w:rsidRPr="004B2A46" w:rsidRDefault="004B2A46" w:rsidP="005954DF">
      <w:pPr>
        <w:pStyle w:val="SectionHeading1"/>
        <w:spacing w:before="120"/>
        <w:rPr>
          <w:rFonts w:cs="PostGrotesk-Book"/>
          <w:color w:val="55565A"/>
          <w:sz w:val="22"/>
          <w:szCs w:val="22"/>
          <w:lang w:val="en-AU"/>
        </w:rPr>
      </w:pPr>
      <w:r w:rsidRPr="004B2A46">
        <w:rPr>
          <w:rFonts w:cs="PostGrotesk-Book"/>
          <w:color w:val="55565A"/>
          <w:sz w:val="22"/>
          <w:szCs w:val="22"/>
          <w:lang w:val="en-AU"/>
        </w:rPr>
        <w:t xml:space="preserve">VCAT was not satisfied that </w:t>
      </w:r>
      <w:r w:rsidR="00CB731F">
        <w:rPr>
          <w:rFonts w:cs="PostGrotesk-Book"/>
          <w:color w:val="55565A"/>
          <w:sz w:val="22"/>
          <w:szCs w:val="22"/>
          <w:lang w:val="en-AU"/>
        </w:rPr>
        <w:t>the law</w:t>
      </w:r>
      <w:r w:rsidR="00F636FD">
        <w:rPr>
          <w:rFonts w:cs="PostGrotesk-Book"/>
          <w:color w:val="55565A"/>
          <w:sz w:val="22"/>
          <w:szCs w:val="22"/>
          <w:lang w:val="en-AU"/>
        </w:rPr>
        <w:t xml:space="preserve"> </w:t>
      </w:r>
      <w:r w:rsidR="00CB731F">
        <w:rPr>
          <w:rFonts w:cs="PostGrotesk-Book"/>
          <w:color w:val="55565A"/>
          <w:sz w:val="22"/>
          <w:szCs w:val="22"/>
          <w:lang w:val="en-AU"/>
        </w:rPr>
        <w:t>enforcement exemption under</w:t>
      </w:r>
      <w:r w:rsidRPr="004B2A46">
        <w:rPr>
          <w:rFonts w:cs="PostGrotesk-Book"/>
          <w:color w:val="55565A"/>
          <w:sz w:val="22"/>
          <w:szCs w:val="22"/>
          <w:lang w:val="en-AU"/>
        </w:rPr>
        <w:t xml:space="preserve"> s</w:t>
      </w:r>
      <w:r>
        <w:rPr>
          <w:rFonts w:cs="PostGrotesk-Book"/>
          <w:color w:val="55565A"/>
          <w:sz w:val="22"/>
          <w:szCs w:val="22"/>
          <w:lang w:val="en-AU"/>
        </w:rPr>
        <w:t>ection</w:t>
      </w:r>
      <w:r w:rsidR="00804CC3">
        <w:rPr>
          <w:rFonts w:cs="PostGrotesk-Book"/>
          <w:color w:val="55565A"/>
          <w:sz w:val="22"/>
          <w:szCs w:val="22"/>
          <w:lang w:val="en-AU"/>
        </w:rPr>
        <w:t xml:space="preserve"> 15 </w:t>
      </w:r>
      <w:r w:rsidR="00CB731F">
        <w:rPr>
          <w:rFonts w:cs="PostGrotesk-Book"/>
          <w:color w:val="55565A"/>
          <w:sz w:val="22"/>
          <w:szCs w:val="22"/>
          <w:lang w:val="en-AU"/>
        </w:rPr>
        <w:t xml:space="preserve">of the Act </w:t>
      </w:r>
      <w:r w:rsidR="00804CC3">
        <w:rPr>
          <w:rFonts w:cs="PostGrotesk-Book"/>
          <w:color w:val="55565A"/>
          <w:sz w:val="22"/>
          <w:szCs w:val="22"/>
          <w:lang w:val="en-AU"/>
        </w:rPr>
        <w:t xml:space="preserve">applied despite the </w:t>
      </w:r>
      <w:r w:rsidRPr="004B2A46">
        <w:rPr>
          <w:rFonts w:cs="PostGrotesk-Book"/>
          <w:color w:val="55565A"/>
          <w:sz w:val="22"/>
          <w:szCs w:val="22"/>
          <w:lang w:val="en-AU"/>
        </w:rPr>
        <w:t>fact that the disclosure</w:t>
      </w:r>
      <w:r w:rsidR="00F636FD">
        <w:rPr>
          <w:rFonts w:cs="PostGrotesk-Book"/>
          <w:color w:val="55565A"/>
          <w:sz w:val="22"/>
          <w:szCs w:val="22"/>
          <w:lang w:val="en-AU"/>
        </w:rPr>
        <w:t>s</w:t>
      </w:r>
      <w:r w:rsidRPr="004B2A46">
        <w:rPr>
          <w:rFonts w:cs="PostGrotesk-Book"/>
          <w:color w:val="55565A"/>
          <w:sz w:val="22"/>
          <w:szCs w:val="22"/>
          <w:lang w:val="en-AU"/>
        </w:rPr>
        <w:t xml:space="preserve"> </w:t>
      </w:r>
      <w:r w:rsidR="00804CC3">
        <w:rPr>
          <w:rFonts w:cs="PostGrotesk-Book"/>
          <w:color w:val="55565A"/>
          <w:sz w:val="22"/>
          <w:szCs w:val="22"/>
          <w:lang w:val="en-AU"/>
        </w:rPr>
        <w:t xml:space="preserve">related to policing activities.  </w:t>
      </w:r>
      <w:r w:rsidRPr="004B2A46">
        <w:rPr>
          <w:rFonts w:cs="PostGrotesk-Book"/>
          <w:color w:val="55565A"/>
          <w:sz w:val="22"/>
          <w:szCs w:val="22"/>
          <w:lang w:val="en-AU"/>
        </w:rPr>
        <w:t xml:space="preserve">VCAT </w:t>
      </w:r>
      <w:r w:rsidR="00362F36">
        <w:rPr>
          <w:rFonts w:cs="PostGrotesk-Book"/>
          <w:color w:val="55565A"/>
          <w:sz w:val="22"/>
          <w:szCs w:val="22"/>
          <w:lang w:val="en-AU"/>
        </w:rPr>
        <w:t xml:space="preserve">noted </w:t>
      </w:r>
      <w:r w:rsidRPr="004B2A46">
        <w:rPr>
          <w:rFonts w:cs="PostGrotesk-Book"/>
          <w:color w:val="55565A"/>
          <w:sz w:val="22"/>
          <w:szCs w:val="22"/>
          <w:lang w:val="en-AU"/>
        </w:rPr>
        <w:t xml:space="preserve">that for the exception to apply, </w:t>
      </w:r>
      <w:r w:rsidR="004A1D74">
        <w:rPr>
          <w:rFonts w:cs="PostGrotesk-Book"/>
          <w:color w:val="55565A"/>
          <w:sz w:val="22"/>
          <w:szCs w:val="22"/>
          <w:lang w:val="en-AU"/>
        </w:rPr>
        <w:t>the Respondent</w:t>
      </w:r>
      <w:r w:rsidRPr="004B2A46">
        <w:rPr>
          <w:rFonts w:cs="PostGrotesk-Book"/>
          <w:color w:val="55565A"/>
          <w:sz w:val="22"/>
          <w:szCs w:val="22"/>
          <w:lang w:val="en-AU"/>
        </w:rPr>
        <w:t xml:space="preserve"> would need to</w:t>
      </w:r>
      <w:r w:rsidR="004A1D74">
        <w:rPr>
          <w:rFonts w:cs="PostGrotesk-Book"/>
          <w:color w:val="55565A"/>
          <w:sz w:val="22"/>
          <w:szCs w:val="22"/>
          <w:lang w:val="en-AU"/>
        </w:rPr>
        <w:t xml:space="preserve"> </w:t>
      </w:r>
      <w:r w:rsidR="005C0112">
        <w:rPr>
          <w:rFonts w:cs="PostGrotesk-Book"/>
          <w:color w:val="55565A"/>
          <w:sz w:val="22"/>
          <w:szCs w:val="22"/>
          <w:lang w:val="en-AU"/>
        </w:rPr>
        <w:t>demonstrate</w:t>
      </w:r>
      <w:r w:rsidR="004A1D74">
        <w:rPr>
          <w:rFonts w:cs="PostGrotesk-Book"/>
          <w:color w:val="55565A"/>
          <w:sz w:val="22"/>
          <w:szCs w:val="22"/>
          <w:lang w:val="en-AU"/>
        </w:rPr>
        <w:t xml:space="preserve"> that it held</w:t>
      </w:r>
      <w:r w:rsidRPr="004B2A46">
        <w:rPr>
          <w:rFonts w:cs="PostGrotesk-Book"/>
          <w:color w:val="55565A"/>
          <w:sz w:val="22"/>
          <w:szCs w:val="22"/>
          <w:lang w:val="en-AU"/>
        </w:rPr>
        <w:t xml:space="preserve"> a belief on reasonable grounds that noncompliance with the IPPs was necessary</w:t>
      </w:r>
      <w:r w:rsidR="00EF202A">
        <w:rPr>
          <w:rFonts w:cs="PostGrotesk-Book"/>
          <w:color w:val="55565A"/>
          <w:sz w:val="22"/>
          <w:szCs w:val="22"/>
          <w:lang w:val="en-AU"/>
        </w:rPr>
        <w:t xml:space="preserve"> as per section 15</w:t>
      </w:r>
      <w:r w:rsidR="00CB731F">
        <w:rPr>
          <w:rFonts w:cs="PostGrotesk-Book"/>
          <w:color w:val="55565A"/>
          <w:sz w:val="22"/>
          <w:szCs w:val="22"/>
          <w:lang w:val="en-AU"/>
        </w:rPr>
        <w:t xml:space="preserve"> of the Act</w:t>
      </w:r>
      <w:r w:rsidRPr="004B2A46">
        <w:rPr>
          <w:rFonts w:cs="PostGrotesk-Book"/>
          <w:color w:val="55565A"/>
          <w:sz w:val="22"/>
          <w:szCs w:val="22"/>
          <w:lang w:val="en-AU"/>
        </w:rPr>
        <w:t xml:space="preserve">. </w:t>
      </w:r>
      <w:r w:rsidR="00CB3349">
        <w:rPr>
          <w:rFonts w:cs="PostGrotesk-Book"/>
          <w:color w:val="55565A"/>
          <w:sz w:val="22"/>
          <w:szCs w:val="22"/>
          <w:lang w:val="en-AU"/>
        </w:rPr>
        <w:t xml:space="preserve"> </w:t>
      </w:r>
      <w:r w:rsidR="004A1D74">
        <w:rPr>
          <w:rFonts w:cs="PostGrotesk-Book"/>
          <w:color w:val="55565A"/>
          <w:sz w:val="22"/>
          <w:szCs w:val="22"/>
          <w:lang w:val="en-AU"/>
        </w:rPr>
        <w:t>The Respondent</w:t>
      </w:r>
      <w:r w:rsidRPr="004B2A46">
        <w:rPr>
          <w:rFonts w:cs="PostGrotesk-Book"/>
          <w:color w:val="55565A"/>
          <w:sz w:val="22"/>
          <w:szCs w:val="22"/>
          <w:lang w:val="en-AU"/>
        </w:rPr>
        <w:t xml:space="preserve"> </w:t>
      </w:r>
      <w:r>
        <w:rPr>
          <w:rFonts w:cs="PostGrotesk-Book"/>
          <w:color w:val="55565A"/>
          <w:sz w:val="22"/>
          <w:szCs w:val="22"/>
          <w:lang w:val="en-AU"/>
        </w:rPr>
        <w:t>was unable to provide evidence of</w:t>
      </w:r>
      <w:r w:rsidR="00CB3349">
        <w:rPr>
          <w:rFonts w:cs="PostGrotesk-Book"/>
          <w:color w:val="55565A"/>
          <w:sz w:val="22"/>
          <w:szCs w:val="22"/>
          <w:lang w:val="en-AU"/>
        </w:rPr>
        <w:t xml:space="preserve"> this.</w:t>
      </w:r>
    </w:p>
    <w:p w14:paraId="5EA0E55A" w14:textId="05043673" w:rsidR="00AC1F6A" w:rsidRPr="00362F36" w:rsidRDefault="00AC1F6A" w:rsidP="005954DF">
      <w:pPr>
        <w:pStyle w:val="SectionHeading1"/>
        <w:spacing w:before="120"/>
        <w:rPr>
          <w:rFonts w:cs="PostGrotesk-Book"/>
          <w:b/>
          <w:color w:val="55565A"/>
          <w:sz w:val="22"/>
          <w:szCs w:val="22"/>
          <w:lang w:val="en-AU"/>
        </w:rPr>
      </w:pPr>
      <w:r w:rsidRPr="00362F36">
        <w:rPr>
          <w:rFonts w:cs="PostGrotesk-Book"/>
          <w:b/>
          <w:color w:val="55565A"/>
          <w:sz w:val="22"/>
          <w:szCs w:val="22"/>
          <w:lang w:val="en-AU"/>
        </w:rPr>
        <w:t>IPP 2.1</w:t>
      </w:r>
    </w:p>
    <w:p w14:paraId="77931EB6" w14:textId="0BA3470E" w:rsidR="004A1D74" w:rsidRPr="004A1D74" w:rsidRDefault="000072E4" w:rsidP="008270A6">
      <w:pPr>
        <w:pStyle w:val="Body"/>
        <w:spacing w:after="120"/>
        <w:rPr>
          <w:lang w:val="en-AU"/>
        </w:rPr>
      </w:pPr>
      <w:r w:rsidRPr="009743A8">
        <w:t xml:space="preserve">VCAT held the Firearms </w:t>
      </w:r>
      <w:r w:rsidR="00CB3349" w:rsidRPr="009743A8">
        <w:t xml:space="preserve">Act </w:t>
      </w:r>
      <w:r w:rsidRPr="009743A8">
        <w:t xml:space="preserve">disclosure and the ATO disclosures were consistent with the Respondent’s primary purpose of the collection </w:t>
      </w:r>
      <w:r w:rsidR="00CB3349" w:rsidRPr="009743A8">
        <w:t>of personal information</w:t>
      </w:r>
      <w:r w:rsidR="009743A8" w:rsidRPr="009743A8">
        <w:t xml:space="preserve"> under IPP 2.1</w:t>
      </w:r>
      <w:r w:rsidRPr="009743A8">
        <w:t xml:space="preserve">. </w:t>
      </w:r>
      <w:r w:rsidR="00CB3349" w:rsidRPr="009743A8">
        <w:t xml:space="preserve"> </w:t>
      </w:r>
      <w:r w:rsidR="00BC5E11">
        <w:t>It noted even if the disclosures were not consistent with the Respondent’s primary purpose, the ATO disclosures would fall under the IPP 2.1(e) and 2.1(f) exemptions and the Firearms Act would fall under the IPP 2.1(f) exemption</w:t>
      </w:r>
      <w:r w:rsidRPr="009743A8">
        <w:t>.</w:t>
      </w:r>
      <w:bookmarkStart w:id="0" w:name="_GoBack"/>
      <w:bookmarkEnd w:id="0"/>
    </w:p>
    <w:p w14:paraId="73BBEC36" w14:textId="4F4C2533" w:rsidR="00B551E8" w:rsidRDefault="00A752B2" w:rsidP="00362F36">
      <w:pPr>
        <w:pStyle w:val="SectionHeading1"/>
        <w:rPr>
          <w:lang w:val="en-AU"/>
        </w:rPr>
      </w:pPr>
      <w:r w:rsidRPr="00362F36">
        <w:rPr>
          <w:rFonts w:cs="PostGrotesk-Book"/>
          <w:b/>
          <w:color w:val="55565A"/>
          <w:sz w:val="22"/>
          <w:szCs w:val="22"/>
          <w:lang w:val="en-AU"/>
        </w:rPr>
        <w:t>IPP 3</w:t>
      </w:r>
      <w:r w:rsidR="00CE6406" w:rsidRPr="00362F36">
        <w:rPr>
          <w:rFonts w:cs="PostGrotesk-Book"/>
          <w:b/>
          <w:color w:val="55565A"/>
          <w:sz w:val="22"/>
          <w:szCs w:val="22"/>
          <w:lang w:val="en-AU"/>
        </w:rPr>
        <w:t>.1</w:t>
      </w:r>
    </w:p>
    <w:p w14:paraId="6627549A" w14:textId="3D7968AE" w:rsidR="005C65AC" w:rsidRDefault="00B533DF" w:rsidP="005C65AC">
      <w:pPr>
        <w:pStyle w:val="Body"/>
        <w:spacing w:after="120"/>
        <w:rPr>
          <w:lang w:val="en-AU"/>
        </w:rPr>
      </w:pPr>
      <w:r>
        <w:rPr>
          <w:lang w:val="en-AU"/>
        </w:rPr>
        <w:t>The Respondent has an obligation</w:t>
      </w:r>
      <w:r w:rsidR="00000B4B">
        <w:rPr>
          <w:lang w:val="en-AU"/>
        </w:rPr>
        <w:t xml:space="preserve"> under IPP 3.1 to take reasonable steps to make sure that the personal information it collects, uses or discloses is accurate, complete and up to date. </w:t>
      </w:r>
      <w:r w:rsidR="009F63D1">
        <w:rPr>
          <w:lang w:val="en-AU"/>
        </w:rPr>
        <w:t xml:space="preserve">In relation to the ATO disclosures, </w:t>
      </w:r>
      <w:r w:rsidR="006546F2">
        <w:rPr>
          <w:lang w:val="en-AU"/>
        </w:rPr>
        <w:t>VCAT</w:t>
      </w:r>
      <w:r w:rsidR="002F7AEC">
        <w:rPr>
          <w:lang w:val="en-AU"/>
        </w:rPr>
        <w:t xml:space="preserve"> accepted the </w:t>
      </w:r>
      <w:r w:rsidR="006546F2">
        <w:rPr>
          <w:lang w:val="en-AU"/>
        </w:rPr>
        <w:t xml:space="preserve">Respondent’s </w:t>
      </w:r>
      <w:r w:rsidR="009F63D1">
        <w:rPr>
          <w:lang w:val="en-AU"/>
        </w:rPr>
        <w:t xml:space="preserve">statements </w:t>
      </w:r>
      <w:r w:rsidR="006546F2">
        <w:rPr>
          <w:lang w:val="en-AU"/>
        </w:rPr>
        <w:t xml:space="preserve">about the </w:t>
      </w:r>
      <w:r w:rsidR="002F4EC6">
        <w:rPr>
          <w:lang w:val="en-AU"/>
        </w:rPr>
        <w:t>Complainant</w:t>
      </w:r>
      <w:r w:rsidR="002F7AEC">
        <w:rPr>
          <w:lang w:val="en-AU"/>
        </w:rPr>
        <w:t xml:space="preserve"> in 2011 and 2012 ‘might fairly be regarded as accurate at that time’</w:t>
      </w:r>
      <w:r w:rsidR="0037332A">
        <w:rPr>
          <w:lang w:val="en-AU"/>
        </w:rPr>
        <w:t xml:space="preserve"> </w:t>
      </w:r>
      <w:r w:rsidR="006546F2">
        <w:rPr>
          <w:lang w:val="en-AU"/>
        </w:rPr>
        <w:t xml:space="preserve">and accordingly it did not find that the </w:t>
      </w:r>
      <w:r w:rsidR="00633285">
        <w:rPr>
          <w:lang w:val="en-AU"/>
        </w:rPr>
        <w:t>Respondent had breached IPP 3.1.</w:t>
      </w:r>
    </w:p>
    <w:p w14:paraId="78DE5A2E" w14:textId="45C28025" w:rsidR="002A62EE" w:rsidRDefault="00E8114E" w:rsidP="00DE25CE">
      <w:pPr>
        <w:pStyle w:val="Body"/>
        <w:spacing w:after="120"/>
        <w:rPr>
          <w:lang w:val="en-AU"/>
        </w:rPr>
      </w:pPr>
      <w:r w:rsidRPr="004A1D74">
        <w:rPr>
          <w:lang w:val="en-AU"/>
        </w:rPr>
        <w:t xml:space="preserve">In </w:t>
      </w:r>
      <w:r w:rsidR="004A1D74" w:rsidRPr="004A1D74">
        <w:rPr>
          <w:lang w:val="en-AU"/>
        </w:rPr>
        <w:t>relation to</w:t>
      </w:r>
      <w:r w:rsidR="00633285" w:rsidRPr="00362F36">
        <w:rPr>
          <w:lang w:val="en-AU"/>
        </w:rPr>
        <w:t xml:space="preserve"> t</w:t>
      </w:r>
      <w:r w:rsidR="005C65AC" w:rsidRPr="00362F36">
        <w:rPr>
          <w:lang w:val="en-AU"/>
        </w:rPr>
        <w:t>he Firearms Act disclosure</w:t>
      </w:r>
      <w:r w:rsidR="00633285" w:rsidRPr="00362F36">
        <w:rPr>
          <w:lang w:val="en-AU"/>
        </w:rPr>
        <w:t>,</w:t>
      </w:r>
      <w:r w:rsidR="00633285" w:rsidRPr="004A1D74">
        <w:rPr>
          <w:lang w:val="en-AU"/>
        </w:rPr>
        <w:t xml:space="preserve"> </w:t>
      </w:r>
      <w:r w:rsidR="00601E5A" w:rsidRPr="004A1D74">
        <w:rPr>
          <w:lang w:val="en-AU"/>
        </w:rPr>
        <w:t>VCAT found t</w:t>
      </w:r>
      <w:r w:rsidR="005C65AC" w:rsidRPr="004A1D74">
        <w:rPr>
          <w:lang w:val="en-AU"/>
        </w:rPr>
        <w:t xml:space="preserve">he </w:t>
      </w:r>
      <w:r w:rsidR="00601E5A" w:rsidRPr="004A1D74">
        <w:rPr>
          <w:lang w:val="en-AU"/>
        </w:rPr>
        <w:t xml:space="preserve">Respondent’s </w:t>
      </w:r>
      <w:r w:rsidR="005C65AC" w:rsidRPr="004A1D74">
        <w:rPr>
          <w:lang w:val="en-AU"/>
        </w:rPr>
        <w:t xml:space="preserve">statement </w:t>
      </w:r>
      <w:r w:rsidR="00F11ACB" w:rsidRPr="004A1D74">
        <w:rPr>
          <w:lang w:val="en-AU"/>
        </w:rPr>
        <w:t xml:space="preserve">to the ATO </w:t>
      </w:r>
      <w:r w:rsidR="005C65AC" w:rsidRPr="004A1D74">
        <w:rPr>
          <w:lang w:val="en-AU"/>
        </w:rPr>
        <w:t xml:space="preserve">that </w:t>
      </w:r>
      <w:r w:rsidR="00633285" w:rsidRPr="004A1D74">
        <w:rPr>
          <w:lang w:val="en-AU"/>
        </w:rPr>
        <w:t>it</w:t>
      </w:r>
      <w:r w:rsidR="005C65AC" w:rsidRPr="004A1D74">
        <w:rPr>
          <w:lang w:val="en-AU"/>
        </w:rPr>
        <w:t xml:space="preserve"> considered </w:t>
      </w:r>
      <w:r w:rsidR="006546F2" w:rsidRPr="004A1D74">
        <w:rPr>
          <w:lang w:val="en-AU"/>
        </w:rPr>
        <w:t>the Complainant</w:t>
      </w:r>
      <w:r w:rsidR="005C65AC" w:rsidRPr="004A1D74">
        <w:rPr>
          <w:lang w:val="en-AU"/>
        </w:rPr>
        <w:t xml:space="preserve"> </w:t>
      </w:r>
      <w:r w:rsidRPr="004A1D74">
        <w:rPr>
          <w:lang w:val="en-AU"/>
        </w:rPr>
        <w:t xml:space="preserve">to be </w:t>
      </w:r>
      <w:r w:rsidR="005C65AC" w:rsidRPr="004A1D74">
        <w:rPr>
          <w:lang w:val="en-AU"/>
        </w:rPr>
        <w:t xml:space="preserve">a ‘known criminal identity’ </w:t>
      </w:r>
      <w:r w:rsidR="009F63D1" w:rsidRPr="004A1D74">
        <w:rPr>
          <w:lang w:val="en-AU"/>
        </w:rPr>
        <w:t xml:space="preserve">to be </w:t>
      </w:r>
      <w:r w:rsidR="00633285" w:rsidRPr="004A1D74">
        <w:rPr>
          <w:lang w:val="en-AU"/>
        </w:rPr>
        <w:t>a breach of IPP 3.1</w:t>
      </w:r>
      <w:r w:rsidR="00B71A0E" w:rsidRPr="004A1D74">
        <w:rPr>
          <w:lang w:val="en-AU"/>
        </w:rPr>
        <w:t xml:space="preserve"> as </w:t>
      </w:r>
      <w:r w:rsidR="00633285" w:rsidRPr="004A1D74">
        <w:rPr>
          <w:lang w:val="en-AU"/>
        </w:rPr>
        <w:t xml:space="preserve">the </w:t>
      </w:r>
      <w:r w:rsidR="00601E5A" w:rsidRPr="004A1D74">
        <w:rPr>
          <w:lang w:val="en-AU"/>
        </w:rPr>
        <w:t>Respondent</w:t>
      </w:r>
      <w:r w:rsidR="005C65AC" w:rsidRPr="004A1D74">
        <w:rPr>
          <w:lang w:val="en-AU"/>
        </w:rPr>
        <w:t xml:space="preserve"> </w:t>
      </w:r>
      <w:r w:rsidR="006546F2" w:rsidRPr="004A1D74">
        <w:rPr>
          <w:lang w:val="en-AU"/>
        </w:rPr>
        <w:t>could not provide</w:t>
      </w:r>
      <w:r w:rsidR="005C65AC" w:rsidRPr="004A1D74">
        <w:rPr>
          <w:lang w:val="en-AU"/>
        </w:rPr>
        <w:t xml:space="preserve"> evidence th</w:t>
      </w:r>
      <w:r w:rsidR="006546F2" w:rsidRPr="004A1D74">
        <w:rPr>
          <w:lang w:val="en-AU"/>
        </w:rPr>
        <w:t xml:space="preserve">e Complainant </w:t>
      </w:r>
      <w:r w:rsidR="005C65AC" w:rsidRPr="004A1D74">
        <w:rPr>
          <w:lang w:val="en-AU"/>
        </w:rPr>
        <w:t xml:space="preserve">was </w:t>
      </w:r>
      <w:r w:rsidR="005C65AC" w:rsidRPr="00362F36">
        <w:rPr>
          <w:lang w:val="en-AU"/>
        </w:rPr>
        <w:t>known</w:t>
      </w:r>
      <w:r w:rsidR="005C65AC" w:rsidRPr="004A1D74">
        <w:rPr>
          <w:lang w:val="en-AU"/>
        </w:rPr>
        <w:t xml:space="preserve"> (as opposed to suspected) to be involved in criminal activity. </w:t>
      </w:r>
      <w:r w:rsidR="00E80390">
        <w:rPr>
          <w:lang w:val="en-AU"/>
        </w:rPr>
        <w:t xml:space="preserve"> </w:t>
      </w:r>
    </w:p>
    <w:p w14:paraId="1659FBE3" w14:textId="0B148028" w:rsidR="00157B94" w:rsidRDefault="00434EC7" w:rsidP="009D5F0F">
      <w:pPr>
        <w:pStyle w:val="SectionHeading1"/>
        <w:rPr>
          <w:lang w:val="en-AU"/>
        </w:rPr>
      </w:pPr>
      <w:r>
        <w:rPr>
          <w:lang w:val="en-AU"/>
        </w:rPr>
        <w:t>Orders</w:t>
      </w:r>
    </w:p>
    <w:p w14:paraId="0D6DFB1C" w14:textId="330B0701" w:rsidR="00B551E8" w:rsidRDefault="006546F2" w:rsidP="00362F36">
      <w:pPr>
        <w:pStyle w:val="Body"/>
        <w:spacing w:before="120" w:after="120"/>
        <w:rPr>
          <w:bCs/>
          <w:lang w:val="en-AU"/>
        </w:rPr>
      </w:pPr>
      <w:r>
        <w:rPr>
          <w:bCs/>
          <w:lang w:val="en-AU"/>
        </w:rPr>
        <w:t>VCAT ordered the Respondent</w:t>
      </w:r>
      <w:r w:rsidR="009F63D1">
        <w:rPr>
          <w:bCs/>
          <w:lang w:val="en-AU"/>
        </w:rPr>
        <w:t xml:space="preserve"> to</w:t>
      </w:r>
      <w:r w:rsidR="00CB3349">
        <w:rPr>
          <w:bCs/>
          <w:lang w:val="en-AU"/>
        </w:rPr>
        <w:t xml:space="preserve"> do the following</w:t>
      </w:r>
      <w:r>
        <w:rPr>
          <w:bCs/>
          <w:lang w:val="en-AU"/>
        </w:rPr>
        <w:t>:</w:t>
      </w:r>
    </w:p>
    <w:p w14:paraId="37924F41" w14:textId="7E5E4E05" w:rsidR="00FC2266" w:rsidRPr="00CB731F" w:rsidRDefault="00CB3349" w:rsidP="00CB731F">
      <w:pPr>
        <w:pStyle w:val="Body"/>
        <w:numPr>
          <w:ilvl w:val="0"/>
          <w:numId w:val="22"/>
        </w:numPr>
        <w:spacing w:after="120"/>
        <w:rPr>
          <w:lang w:val="en-AU"/>
        </w:rPr>
      </w:pPr>
      <w:r w:rsidRPr="00CB731F">
        <w:rPr>
          <w:lang w:val="en-AU"/>
        </w:rPr>
        <w:t>R</w:t>
      </w:r>
      <w:r w:rsidR="001F02F8" w:rsidRPr="00CB731F">
        <w:rPr>
          <w:lang w:val="en-AU"/>
        </w:rPr>
        <w:t>ectify the breach by</w:t>
      </w:r>
      <w:r w:rsidRPr="00CB731F">
        <w:rPr>
          <w:lang w:val="en-AU"/>
        </w:rPr>
        <w:t>:</w:t>
      </w:r>
    </w:p>
    <w:p w14:paraId="6CDBDD3A" w14:textId="0838C8F3" w:rsidR="00CE6406" w:rsidRPr="00CB731F" w:rsidRDefault="001F02F8" w:rsidP="00CB731F">
      <w:pPr>
        <w:pStyle w:val="Body"/>
        <w:numPr>
          <w:ilvl w:val="1"/>
          <w:numId w:val="22"/>
        </w:numPr>
        <w:spacing w:after="120"/>
        <w:rPr>
          <w:lang w:val="en-AU"/>
        </w:rPr>
      </w:pPr>
      <w:r w:rsidRPr="00CB731F">
        <w:rPr>
          <w:lang w:val="en-AU"/>
        </w:rPr>
        <w:t xml:space="preserve">providing A with a copy of VCAT’s </w:t>
      </w:r>
      <w:r w:rsidR="00CE6406" w:rsidRPr="00CB731F">
        <w:rPr>
          <w:lang w:val="en-AU"/>
        </w:rPr>
        <w:t>ord</w:t>
      </w:r>
      <w:r w:rsidR="006546F2" w:rsidRPr="00CB731F">
        <w:rPr>
          <w:lang w:val="en-AU"/>
        </w:rPr>
        <w:t xml:space="preserve">ers </w:t>
      </w:r>
      <w:r w:rsidRPr="00CB731F">
        <w:rPr>
          <w:lang w:val="en-AU"/>
        </w:rPr>
        <w:t>and reasons</w:t>
      </w:r>
      <w:r w:rsidR="006546F2" w:rsidRPr="00CB731F">
        <w:rPr>
          <w:lang w:val="en-AU"/>
        </w:rPr>
        <w:t>; and</w:t>
      </w:r>
    </w:p>
    <w:p w14:paraId="6288C5FA" w14:textId="3D52AF75" w:rsidR="00FC2266" w:rsidRPr="00CB731F" w:rsidRDefault="00FC2266" w:rsidP="00F907D7">
      <w:pPr>
        <w:pStyle w:val="Body"/>
        <w:numPr>
          <w:ilvl w:val="1"/>
          <w:numId w:val="22"/>
        </w:numPr>
        <w:spacing w:after="120"/>
        <w:rPr>
          <w:lang w:val="en-AU"/>
        </w:rPr>
      </w:pPr>
      <w:r w:rsidRPr="00CB731F">
        <w:rPr>
          <w:lang w:val="en-AU"/>
        </w:rPr>
        <w:t>attaching a copy of the VCAT orders and reasons to its physical and electronic records of the Firearms Act disclosure</w:t>
      </w:r>
      <w:r w:rsidR="00CB3349" w:rsidRPr="00CB731F">
        <w:rPr>
          <w:lang w:val="en-AU"/>
        </w:rPr>
        <w:t>.</w:t>
      </w:r>
    </w:p>
    <w:p w14:paraId="78FCD30C" w14:textId="62F52DB0" w:rsidR="00CE6406" w:rsidRPr="00CB731F" w:rsidRDefault="00CB3349" w:rsidP="00CB731F">
      <w:pPr>
        <w:pStyle w:val="Body"/>
        <w:numPr>
          <w:ilvl w:val="0"/>
          <w:numId w:val="22"/>
        </w:numPr>
        <w:spacing w:after="120"/>
        <w:rPr>
          <w:lang w:val="en-AU"/>
        </w:rPr>
      </w:pPr>
      <w:r w:rsidRPr="00CB731F">
        <w:rPr>
          <w:lang w:val="en-AU"/>
        </w:rPr>
        <w:t>P</w:t>
      </w:r>
      <w:r w:rsidR="006546F2" w:rsidRPr="00CB731F">
        <w:rPr>
          <w:lang w:val="en-AU"/>
        </w:rPr>
        <w:t xml:space="preserve">ay the Complainant </w:t>
      </w:r>
      <w:r w:rsidR="00CE6406" w:rsidRPr="00CB731F">
        <w:rPr>
          <w:lang w:val="en-AU"/>
        </w:rPr>
        <w:t>$1,000</w:t>
      </w:r>
      <w:r w:rsidR="003353AA" w:rsidRPr="00CB731F">
        <w:rPr>
          <w:lang w:val="en-AU"/>
        </w:rPr>
        <w:t xml:space="preserve"> by way of</w:t>
      </w:r>
      <w:r w:rsidR="006546F2" w:rsidRPr="00CB731F">
        <w:rPr>
          <w:lang w:val="en-AU"/>
        </w:rPr>
        <w:t xml:space="preserve"> </w:t>
      </w:r>
      <w:r w:rsidR="00CE6406" w:rsidRPr="00CB731F">
        <w:rPr>
          <w:lang w:val="en-AU"/>
        </w:rPr>
        <w:t>compensation</w:t>
      </w:r>
      <w:r w:rsidR="003353AA" w:rsidRPr="00CB731F">
        <w:rPr>
          <w:lang w:val="en-AU"/>
        </w:rPr>
        <w:t>.</w:t>
      </w:r>
    </w:p>
    <w:p w14:paraId="143E4850" w14:textId="5B70152D" w:rsidR="00AE376C" w:rsidRDefault="001F02F8" w:rsidP="00DE25CE">
      <w:pPr>
        <w:pStyle w:val="Body"/>
        <w:spacing w:after="120"/>
        <w:rPr>
          <w:lang w:val="en-AU"/>
        </w:rPr>
      </w:pPr>
      <w:r>
        <w:rPr>
          <w:lang w:val="en-AU"/>
        </w:rPr>
        <w:t xml:space="preserve">Although it was requested by the Complainant, </w:t>
      </w:r>
      <w:r w:rsidR="0013766C">
        <w:rPr>
          <w:lang w:val="en-AU"/>
        </w:rPr>
        <w:t>VCAT did not order that the Respondent apolo</w:t>
      </w:r>
      <w:r>
        <w:rPr>
          <w:lang w:val="en-AU"/>
        </w:rPr>
        <w:t>gise to the Complainant for the breach</w:t>
      </w:r>
      <w:r w:rsidR="00FC2266">
        <w:rPr>
          <w:lang w:val="en-AU"/>
        </w:rPr>
        <w:t xml:space="preserve"> as it </w:t>
      </w:r>
      <w:r w:rsidR="007C7E34">
        <w:rPr>
          <w:lang w:val="en-AU"/>
        </w:rPr>
        <w:t>considered</w:t>
      </w:r>
      <w:r w:rsidR="00FC2266">
        <w:rPr>
          <w:lang w:val="en-AU"/>
        </w:rPr>
        <w:t xml:space="preserve"> this would serve no utility</w:t>
      </w:r>
      <w:r w:rsidR="00E8114E">
        <w:rPr>
          <w:lang w:val="en-AU"/>
        </w:rPr>
        <w:t>.</w:t>
      </w:r>
      <w:r>
        <w:rPr>
          <w:lang w:val="en-AU"/>
        </w:rPr>
        <w:t xml:space="preserve"> </w:t>
      </w:r>
    </w:p>
    <w:p w14:paraId="575E6BB4" w14:textId="44953104" w:rsidR="00CB731F" w:rsidRDefault="00CB731F" w:rsidP="00DE25CE">
      <w:pPr>
        <w:pStyle w:val="Body"/>
        <w:spacing w:after="120"/>
        <w:rPr>
          <w:lang w:val="en-AU"/>
        </w:rPr>
      </w:pPr>
    </w:p>
    <w:p w14:paraId="308B6A9A" w14:textId="6A4691FF" w:rsidR="00CB731F" w:rsidRDefault="00CB731F" w:rsidP="00DE25CE">
      <w:pPr>
        <w:pStyle w:val="Body"/>
        <w:spacing w:after="120"/>
        <w:rPr>
          <w:lang w:val="en-AU"/>
        </w:rPr>
      </w:pPr>
    </w:p>
    <w:p w14:paraId="305BD8AD" w14:textId="6D5CD5FC" w:rsidR="000B367E" w:rsidRDefault="000B367E" w:rsidP="00DE25CE">
      <w:pPr>
        <w:pStyle w:val="Body"/>
        <w:spacing w:after="120"/>
        <w:rPr>
          <w:lang w:val="en-AU"/>
        </w:rPr>
      </w:pPr>
    </w:p>
    <w:p w14:paraId="3963C1A1" w14:textId="2EC2621D" w:rsidR="000B367E" w:rsidRDefault="000B367E" w:rsidP="00DE25CE">
      <w:pPr>
        <w:pStyle w:val="Body"/>
        <w:spacing w:after="120"/>
        <w:rPr>
          <w:lang w:val="en-AU"/>
        </w:rPr>
      </w:pPr>
    </w:p>
    <w:p w14:paraId="7105C657" w14:textId="77777777" w:rsidR="007C7E34" w:rsidRPr="00157B94" w:rsidRDefault="007C7E34" w:rsidP="00DE25CE">
      <w:pPr>
        <w:pStyle w:val="Body"/>
        <w:spacing w:after="120"/>
        <w:rPr>
          <w:lang w:val="en-AU"/>
        </w:rPr>
      </w:pPr>
    </w:p>
    <w:p w14:paraId="559968F5" w14:textId="77777777" w:rsidR="00BA7390" w:rsidRPr="005F0419" w:rsidRDefault="00BA7390" w:rsidP="002456A2">
      <w:pPr>
        <w:keepNext/>
        <w:keepLines/>
        <w:pBdr>
          <w:top w:val="single" w:sz="4" w:space="6" w:color="430098"/>
        </w:pBdr>
        <w:spacing w:before="120" w:after="120"/>
        <w:outlineLvl w:val="0"/>
        <w:rPr>
          <w:rFonts w:cs="PostGrotesk-Medium"/>
          <w:color w:val="430098"/>
          <w:sz w:val="28"/>
          <w:szCs w:val="28"/>
          <w:lang w:val="en-AU"/>
        </w:rPr>
      </w:pPr>
      <w:r w:rsidRPr="005F0419">
        <w:rPr>
          <w:rFonts w:cs="PostGrotesk-Medium"/>
          <w:color w:val="430098"/>
          <w:sz w:val="28"/>
          <w:szCs w:val="28"/>
          <w:lang w:val="en-AU"/>
        </w:rPr>
        <w:t>Further Information</w:t>
      </w:r>
    </w:p>
    <w:p w14:paraId="795C66A0" w14:textId="77777777" w:rsidR="00BA7390" w:rsidRPr="005F0419" w:rsidRDefault="00BA7390" w:rsidP="00BA7390">
      <w:pPr>
        <w:keepNext/>
        <w:keepLines/>
        <w:pBdr>
          <w:top w:val="single" w:sz="4" w:space="6" w:color="430098"/>
        </w:pBdr>
        <w:spacing w:before="120" w:after="240"/>
        <w:outlineLvl w:val="0"/>
        <w:rPr>
          <w:rFonts w:cs="PostGrotesk-Medium"/>
          <w:color w:val="430098"/>
          <w:sz w:val="28"/>
          <w:szCs w:val="28"/>
          <w:lang w:val="en-AU"/>
        </w:rPr>
        <w:sectPr w:rsidR="00BA7390" w:rsidRPr="005F0419" w:rsidSect="002456A2">
          <w:footerReference w:type="default" r:id="rId8"/>
          <w:headerReference w:type="first" r:id="rId9"/>
          <w:type w:val="continuous"/>
          <w:pgSz w:w="11900" w:h="16840"/>
          <w:pgMar w:top="896" w:right="1134" w:bottom="709" w:left="1134" w:header="510" w:footer="510" w:gutter="0"/>
          <w:cols w:space="720"/>
          <w:titlePg/>
          <w:docGrid w:linePitch="360"/>
        </w:sectPr>
      </w:pPr>
    </w:p>
    <w:p w14:paraId="439F5EB8" w14:textId="460E964C" w:rsidR="00795CCC" w:rsidRPr="005F0419" w:rsidRDefault="00BA7390" w:rsidP="0063763C">
      <w:pPr>
        <w:pStyle w:val="Disclaimer"/>
        <w:rPr>
          <w:lang w:val="en-AU"/>
        </w:rPr>
      </w:pPr>
      <w:r w:rsidRPr="005F0419">
        <w:rPr>
          <w:b/>
          <w:color w:val="430098"/>
          <w:lang w:val="en-AU"/>
        </w:rPr>
        <w:t>t:</w:t>
      </w:r>
      <w:r w:rsidRPr="005F0419">
        <w:rPr>
          <w:lang w:val="en-AU"/>
        </w:rPr>
        <w:tab/>
        <w:t xml:space="preserve">1300 00 6842 </w:t>
      </w:r>
      <w:r w:rsidRPr="005F0419">
        <w:rPr>
          <w:lang w:val="en-AU"/>
        </w:rPr>
        <w:br/>
      </w:r>
      <w:r w:rsidRPr="005F0419">
        <w:rPr>
          <w:b/>
          <w:color w:val="430098"/>
          <w:lang w:val="en-AU"/>
        </w:rPr>
        <w:t>e:</w:t>
      </w:r>
      <w:r w:rsidRPr="005F0419">
        <w:rPr>
          <w:lang w:val="en-AU"/>
        </w:rPr>
        <w:tab/>
        <w:t>enquiries@ovic.vic.gov.au</w:t>
      </w:r>
      <w:r w:rsidRPr="005F0419">
        <w:rPr>
          <w:lang w:val="en-AU"/>
        </w:rPr>
        <w:br/>
      </w:r>
      <w:r w:rsidRPr="005F0419">
        <w:rPr>
          <w:b/>
          <w:color w:val="430098"/>
          <w:lang w:val="en-AU"/>
        </w:rPr>
        <w:t>w:</w:t>
      </w:r>
      <w:r w:rsidRPr="005F0419">
        <w:rPr>
          <w:lang w:val="en-AU"/>
        </w:rPr>
        <w:tab/>
        <w:t>ovic.vic.gov.au</w:t>
      </w:r>
      <w:r w:rsidRPr="005F0419">
        <w:rPr>
          <w:rFonts w:cs="PostGrotesk-Medium"/>
          <w:b/>
          <w:lang w:val="en-AU"/>
        </w:rPr>
        <w:t xml:space="preserve"> </w:t>
      </w:r>
      <w:r w:rsidRPr="005F0419">
        <w:rPr>
          <w:rFonts w:cs="PostGrotesk-Medium"/>
          <w:b/>
          <w:lang w:val="en-AU"/>
        </w:rPr>
        <w:br w:type="column"/>
      </w:r>
      <w:r w:rsidRPr="005F0419">
        <w:rPr>
          <w:lang w:val="en-AU"/>
        </w:rPr>
        <w:t>This case note is general in nature and does not constitute legal advice.</w:t>
      </w:r>
    </w:p>
    <w:sectPr w:rsidR="00795CCC" w:rsidRPr="005F0419" w:rsidSect="00BA008A">
      <w:headerReference w:type="first" r:id="rId10"/>
      <w:footerReference w:type="first" r:id="rId11"/>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44D7" w14:textId="77777777" w:rsidR="007B57EE" w:rsidRDefault="007B57EE" w:rsidP="00190E33">
      <w:r>
        <w:separator/>
      </w:r>
    </w:p>
  </w:endnote>
  <w:endnote w:type="continuationSeparator" w:id="0">
    <w:p w14:paraId="5268AAB9" w14:textId="77777777" w:rsidR="007B57EE" w:rsidRDefault="007B57EE" w:rsidP="001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994D" w14:textId="6FAF0B61" w:rsidR="00556EED" w:rsidRPr="003B6B6A" w:rsidRDefault="00556EED"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sidR="006D6123">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9DDD" w14:textId="77777777" w:rsidR="00556EED" w:rsidRDefault="00556EED"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7CFF" w14:textId="77777777" w:rsidR="007B57EE" w:rsidRDefault="007B57EE" w:rsidP="00190E33">
      <w:r>
        <w:separator/>
      </w:r>
    </w:p>
  </w:footnote>
  <w:footnote w:type="continuationSeparator" w:id="0">
    <w:p w14:paraId="56FE1217" w14:textId="77777777" w:rsidR="007B57EE" w:rsidRDefault="007B57EE" w:rsidP="0019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5899" w14:textId="3A50639F" w:rsidR="00556EED" w:rsidRPr="00D70A8A" w:rsidRDefault="00556EED"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D9C210B" wp14:editId="59AC66F4">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26"/>
        <w:szCs w:val="26"/>
      </w:rPr>
      <w:t>PRIVACY</w:t>
    </w:r>
    <w:r w:rsidRPr="00D70A8A">
      <w:rPr>
        <w:color w:val="7F7F7F"/>
        <w:sz w:val="26"/>
        <w:szCs w:val="26"/>
      </w:rPr>
      <w:br/>
    </w:r>
    <w:r w:rsidRPr="00D70A8A">
      <w:rPr>
        <w:color w:val="7F7F7F"/>
        <w:sz w:val="26"/>
        <w:szCs w:val="26"/>
      </w:rPr>
      <w:tab/>
    </w:r>
    <w:r>
      <w:rPr>
        <w:color w:val="430098"/>
        <w:sz w:val="26"/>
        <w:szCs w:val="26"/>
      </w:rPr>
      <w:t>CASE NOTE</w:t>
    </w:r>
  </w:p>
  <w:p w14:paraId="15DFAA71" w14:textId="785CB7ED" w:rsidR="00556EED" w:rsidRDefault="00556EED"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45F6952D" wp14:editId="573A11B1">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09AF4541" w14:textId="4782D251" w:rsidR="00556EED" w:rsidRPr="005035FE" w:rsidRDefault="00556EED" w:rsidP="00362F36">
    <w:pPr>
      <w:pStyle w:val="DocumentTitle"/>
      <w:spacing w:before="0"/>
      <w:rPr>
        <w:color w:val="555559"/>
        <w:sz w:val="30"/>
        <w:szCs w:val="30"/>
      </w:rPr>
    </w:pPr>
    <w:proofErr w:type="spellStart"/>
    <w:r>
      <w:rPr>
        <w:rFonts w:ascii="Calibri" w:hAnsi="Calibri"/>
        <w:bCs/>
        <w:i/>
        <w:sz w:val="36"/>
        <w:szCs w:val="36"/>
        <w:lang w:val="en"/>
      </w:rPr>
      <w:t>Zeqaj</w:t>
    </w:r>
    <w:proofErr w:type="spellEnd"/>
    <w:r>
      <w:rPr>
        <w:rFonts w:ascii="Calibri" w:hAnsi="Calibri"/>
        <w:bCs/>
        <w:i/>
        <w:sz w:val="36"/>
        <w:szCs w:val="36"/>
        <w:lang w:val="en"/>
      </w:rPr>
      <w:t xml:space="preserve"> v Victoria Police (Human Rights)</w:t>
    </w:r>
    <w:r w:rsidRPr="00D675D9">
      <w:rPr>
        <w:rFonts w:ascii="Calibri" w:hAnsi="Calibri"/>
        <w:bCs/>
        <w:i/>
        <w:sz w:val="36"/>
        <w:szCs w:val="36"/>
        <w:lang w:val="en"/>
      </w:rPr>
      <w:t xml:space="preserve"> </w:t>
    </w:r>
    <w:r w:rsidRPr="00D675D9">
      <w:rPr>
        <w:rFonts w:ascii="Calibri" w:hAnsi="Calibri"/>
        <w:bCs/>
        <w:sz w:val="36"/>
        <w:szCs w:val="36"/>
        <w:lang w:val="en"/>
      </w:rPr>
      <w:t xml:space="preserve">[2018] VCAT </w:t>
    </w:r>
    <w:r>
      <w:rPr>
        <w:rFonts w:ascii="Calibri" w:hAnsi="Calibri"/>
        <w:bCs/>
        <w:sz w:val="36"/>
        <w:szCs w:val="36"/>
        <w:lang w:val="en"/>
      </w:rPr>
      <w:t>1733 (20 November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687F" w14:textId="77777777" w:rsidR="00556EED" w:rsidRPr="0070388B" w:rsidRDefault="00556EED"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58D"/>
    <w:multiLevelType w:val="hybridMultilevel"/>
    <w:tmpl w:val="BCA244A4"/>
    <w:lvl w:ilvl="0" w:tplc="A72CC39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835AB3"/>
    <w:multiLevelType w:val="hybridMultilevel"/>
    <w:tmpl w:val="B0568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D2717A"/>
    <w:multiLevelType w:val="hybridMultilevel"/>
    <w:tmpl w:val="493E5C1C"/>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EF40D6"/>
    <w:multiLevelType w:val="hybridMultilevel"/>
    <w:tmpl w:val="20D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F442A"/>
    <w:multiLevelType w:val="hybridMultilevel"/>
    <w:tmpl w:val="99829A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A425096"/>
    <w:multiLevelType w:val="hybridMultilevel"/>
    <w:tmpl w:val="A6D47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1B1E94"/>
    <w:multiLevelType w:val="hybridMultilevel"/>
    <w:tmpl w:val="AA3685B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55BEA"/>
    <w:multiLevelType w:val="hybridMultilevel"/>
    <w:tmpl w:val="DE120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9166A"/>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16B2C"/>
    <w:multiLevelType w:val="hybridMultilevel"/>
    <w:tmpl w:val="6A0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000B2"/>
    <w:multiLevelType w:val="hybridMultilevel"/>
    <w:tmpl w:val="2F040CF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74523C5"/>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058D0"/>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64576"/>
    <w:multiLevelType w:val="hybridMultilevel"/>
    <w:tmpl w:val="0B0E8BF8"/>
    <w:lvl w:ilvl="0" w:tplc="34609220">
      <w:start w:val="1"/>
      <w:numFmt w:val="bullet"/>
      <w:lvlText w:val=""/>
      <w:lvlJc w:val="left"/>
      <w:pPr>
        <w:ind w:left="76" w:hanging="360"/>
      </w:pPr>
      <w:rPr>
        <w:rFonts w:ascii="Symbol" w:hAnsi="Symbol" w:hint="default"/>
        <w:sz w:val="18"/>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15:restartNumberingAfterBreak="0">
    <w:nsid w:val="4D2E30F6"/>
    <w:multiLevelType w:val="hybridMultilevel"/>
    <w:tmpl w:val="18304E9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FB7421"/>
    <w:multiLevelType w:val="hybridMultilevel"/>
    <w:tmpl w:val="B4CA4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5A468E"/>
    <w:multiLevelType w:val="hybridMultilevel"/>
    <w:tmpl w:val="E8EE7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C823A6"/>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60B1D"/>
    <w:multiLevelType w:val="hybridMultilevel"/>
    <w:tmpl w:val="1AC2E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B248FF"/>
    <w:multiLevelType w:val="hybridMultilevel"/>
    <w:tmpl w:val="4F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82894"/>
    <w:multiLevelType w:val="hybridMultilevel"/>
    <w:tmpl w:val="9B1A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A9293A"/>
    <w:multiLevelType w:val="hybridMultilevel"/>
    <w:tmpl w:val="13808EDA"/>
    <w:lvl w:ilvl="0" w:tplc="5FF83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208B9"/>
    <w:multiLevelType w:val="hybridMultilevel"/>
    <w:tmpl w:val="8528D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1"/>
  </w:num>
  <w:num w:numId="5">
    <w:abstractNumId w:val="15"/>
  </w:num>
  <w:num w:numId="6">
    <w:abstractNumId w:val="18"/>
  </w:num>
  <w:num w:numId="7">
    <w:abstractNumId w:val="16"/>
  </w:num>
  <w:num w:numId="8">
    <w:abstractNumId w:val="22"/>
  </w:num>
  <w:num w:numId="9">
    <w:abstractNumId w:val="9"/>
  </w:num>
  <w:num w:numId="10">
    <w:abstractNumId w:val="7"/>
  </w:num>
  <w:num w:numId="11">
    <w:abstractNumId w:val="11"/>
  </w:num>
  <w:num w:numId="12">
    <w:abstractNumId w:val="17"/>
  </w:num>
  <w:num w:numId="13">
    <w:abstractNumId w:val="3"/>
  </w:num>
  <w:num w:numId="14">
    <w:abstractNumId w:val="19"/>
  </w:num>
  <w:num w:numId="15">
    <w:abstractNumId w:val="20"/>
  </w:num>
  <w:num w:numId="16">
    <w:abstractNumId w:val="5"/>
  </w:num>
  <w:num w:numId="17">
    <w:abstractNumId w:val="4"/>
  </w:num>
  <w:num w:numId="18">
    <w:abstractNumId w:val="14"/>
  </w:num>
  <w:num w:numId="19">
    <w:abstractNumId w:val="21"/>
  </w:num>
  <w:num w:numId="20">
    <w:abstractNumId w:val="2"/>
  </w:num>
  <w:num w:numId="21">
    <w:abstractNumId w:val="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90"/>
    <w:rsid w:val="00000B4B"/>
    <w:rsid w:val="000072E4"/>
    <w:rsid w:val="000125B0"/>
    <w:rsid w:val="000130A0"/>
    <w:rsid w:val="00021D9E"/>
    <w:rsid w:val="00023034"/>
    <w:rsid w:val="00026145"/>
    <w:rsid w:val="00031C97"/>
    <w:rsid w:val="0003391E"/>
    <w:rsid w:val="0003541D"/>
    <w:rsid w:val="000367C3"/>
    <w:rsid w:val="00040801"/>
    <w:rsid w:val="00040D45"/>
    <w:rsid w:val="00041076"/>
    <w:rsid w:val="00042D6F"/>
    <w:rsid w:val="000459CC"/>
    <w:rsid w:val="00051C03"/>
    <w:rsid w:val="000521AD"/>
    <w:rsid w:val="00052EAC"/>
    <w:rsid w:val="000649BD"/>
    <w:rsid w:val="000730E0"/>
    <w:rsid w:val="000732A6"/>
    <w:rsid w:val="00077A18"/>
    <w:rsid w:val="00084613"/>
    <w:rsid w:val="000858B8"/>
    <w:rsid w:val="00086730"/>
    <w:rsid w:val="0009032A"/>
    <w:rsid w:val="000904A2"/>
    <w:rsid w:val="00094AC4"/>
    <w:rsid w:val="000952CB"/>
    <w:rsid w:val="00097648"/>
    <w:rsid w:val="00097E01"/>
    <w:rsid w:val="000A0B4F"/>
    <w:rsid w:val="000A32D3"/>
    <w:rsid w:val="000B367E"/>
    <w:rsid w:val="000B716F"/>
    <w:rsid w:val="000C05EE"/>
    <w:rsid w:val="000C34FC"/>
    <w:rsid w:val="000F2103"/>
    <w:rsid w:val="001017A1"/>
    <w:rsid w:val="00107C68"/>
    <w:rsid w:val="001153CC"/>
    <w:rsid w:val="00131BEC"/>
    <w:rsid w:val="00132563"/>
    <w:rsid w:val="00132AF5"/>
    <w:rsid w:val="0013393D"/>
    <w:rsid w:val="0013766C"/>
    <w:rsid w:val="001401DB"/>
    <w:rsid w:val="00141ED1"/>
    <w:rsid w:val="00146A73"/>
    <w:rsid w:val="00150162"/>
    <w:rsid w:val="001558A4"/>
    <w:rsid w:val="00157B94"/>
    <w:rsid w:val="00162AC5"/>
    <w:rsid w:val="00165ACA"/>
    <w:rsid w:val="00167A14"/>
    <w:rsid w:val="001702C9"/>
    <w:rsid w:val="00177E18"/>
    <w:rsid w:val="0018095A"/>
    <w:rsid w:val="00180FCF"/>
    <w:rsid w:val="00190CEB"/>
    <w:rsid w:val="00190E33"/>
    <w:rsid w:val="00193319"/>
    <w:rsid w:val="001936AA"/>
    <w:rsid w:val="00194900"/>
    <w:rsid w:val="001953BE"/>
    <w:rsid w:val="00195AB2"/>
    <w:rsid w:val="001964C0"/>
    <w:rsid w:val="001A191D"/>
    <w:rsid w:val="001A6E2B"/>
    <w:rsid w:val="001B6155"/>
    <w:rsid w:val="001B6646"/>
    <w:rsid w:val="001C2BD6"/>
    <w:rsid w:val="001C635F"/>
    <w:rsid w:val="001D0C1F"/>
    <w:rsid w:val="001D112D"/>
    <w:rsid w:val="001D3811"/>
    <w:rsid w:val="001D6E62"/>
    <w:rsid w:val="001E000E"/>
    <w:rsid w:val="001E3CAD"/>
    <w:rsid w:val="001E6A95"/>
    <w:rsid w:val="001F02F8"/>
    <w:rsid w:val="001F0DC1"/>
    <w:rsid w:val="002007F8"/>
    <w:rsid w:val="00211C96"/>
    <w:rsid w:val="00213613"/>
    <w:rsid w:val="00216F46"/>
    <w:rsid w:val="002201C4"/>
    <w:rsid w:val="0023072D"/>
    <w:rsid w:val="002370E9"/>
    <w:rsid w:val="00241667"/>
    <w:rsid w:val="00242777"/>
    <w:rsid w:val="00242DAD"/>
    <w:rsid w:val="002456A2"/>
    <w:rsid w:val="00254D33"/>
    <w:rsid w:val="002575F7"/>
    <w:rsid w:val="00262D56"/>
    <w:rsid w:val="00266157"/>
    <w:rsid w:val="00274299"/>
    <w:rsid w:val="002760A9"/>
    <w:rsid w:val="00281C14"/>
    <w:rsid w:val="00290829"/>
    <w:rsid w:val="00294719"/>
    <w:rsid w:val="00296CAD"/>
    <w:rsid w:val="002A0650"/>
    <w:rsid w:val="002A4833"/>
    <w:rsid w:val="002A62EE"/>
    <w:rsid w:val="002B0525"/>
    <w:rsid w:val="002B49E3"/>
    <w:rsid w:val="002B5AB2"/>
    <w:rsid w:val="002B627E"/>
    <w:rsid w:val="002B79B4"/>
    <w:rsid w:val="002C51DA"/>
    <w:rsid w:val="002D1FDC"/>
    <w:rsid w:val="002E1835"/>
    <w:rsid w:val="002E3523"/>
    <w:rsid w:val="002E3644"/>
    <w:rsid w:val="002E4D0D"/>
    <w:rsid w:val="002E75FE"/>
    <w:rsid w:val="002E79AF"/>
    <w:rsid w:val="002F0D33"/>
    <w:rsid w:val="002F1A8D"/>
    <w:rsid w:val="002F2498"/>
    <w:rsid w:val="002F4EC6"/>
    <w:rsid w:val="002F7AEC"/>
    <w:rsid w:val="0030296C"/>
    <w:rsid w:val="00306748"/>
    <w:rsid w:val="003248CC"/>
    <w:rsid w:val="00326F1A"/>
    <w:rsid w:val="003353AA"/>
    <w:rsid w:val="0033667A"/>
    <w:rsid w:val="00344F97"/>
    <w:rsid w:val="00347483"/>
    <w:rsid w:val="00352322"/>
    <w:rsid w:val="00357470"/>
    <w:rsid w:val="00362F36"/>
    <w:rsid w:val="00364C63"/>
    <w:rsid w:val="00371B4B"/>
    <w:rsid w:val="0037332A"/>
    <w:rsid w:val="003800C9"/>
    <w:rsid w:val="00383B17"/>
    <w:rsid w:val="00385DD2"/>
    <w:rsid w:val="00397095"/>
    <w:rsid w:val="003B4A2D"/>
    <w:rsid w:val="003B712B"/>
    <w:rsid w:val="003C588D"/>
    <w:rsid w:val="003D12F6"/>
    <w:rsid w:val="003D22A8"/>
    <w:rsid w:val="003D30C7"/>
    <w:rsid w:val="003D5C28"/>
    <w:rsid w:val="003D6E95"/>
    <w:rsid w:val="003E43DD"/>
    <w:rsid w:val="003F1F0B"/>
    <w:rsid w:val="003F20F3"/>
    <w:rsid w:val="003F22F7"/>
    <w:rsid w:val="003F4C16"/>
    <w:rsid w:val="003F4DEC"/>
    <w:rsid w:val="003F5539"/>
    <w:rsid w:val="004010F0"/>
    <w:rsid w:val="004028AF"/>
    <w:rsid w:val="0040615A"/>
    <w:rsid w:val="00425D5B"/>
    <w:rsid w:val="00426DB1"/>
    <w:rsid w:val="004311E9"/>
    <w:rsid w:val="00434EC7"/>
    <w:rsid w:val="00436440"/>
    <w:rsid w:val="00440454"/>
    <w:rsid w:val="00440466"/>
    <w:rsid w:val="004412CA"/>
    <w:rsid w:val="004422B2"/>
    <w:rsid w:val="00445431"/>
    <w:rsid w:val="004512B9"/>
    <w:rsid w:val="00462F3C"/>
    <w:rsid w:val="00475C10"/>
    <w:rsid w:val="00480B0D"/>
    <w:rsid w:val="00483321"/>
    <w:rsid w:val="00490A66"/>
    <w:rsid w:val="004957C4"/>
    <w:rsid w:val="004A1D74"/>
    <w:rsid w:val="004A4AF3"/>
    <w:rsid w:val="004A505B"/>
    <w:rsid w:val="004A7394"/>
    <w:rsid w:val="004B152E"/>
    <w:rsid w:val="004B2A46"/>
    <w:rsid w:val="004B3D1C"/>
    <w:rsid w:val="004D46F0"/>
    <w:rsid w:val="004D4D49"/>
    <w:rsid w:val="004E2BBE"/>
    <w:rsid w:val="004F014A"/>
    <w:rsid w:val="004F1F77"/>
    <w:rsid w:val="004F3DC7"/>
    <w:rsid w:val="00502942"/>
    <w:rsid w:val="005035FE"/>
    <w:rsid w:val="00514901"/>
    <w:rsid w:val="00521745"/>
    <w:rsid w:val="00526DF9"/>
    <w:rsid w:val="00534FB8"/>
    <w:rsid w:val="00542E9E"/>
    <w:rsid w:val="00543908"/>
    <w:rsid w:val="00544A03"/>
    <w:rsid w:val="00547BF4"/>
    <w:rsid w:val="00556EED"/>
    <w:rsid w:val="00564E87"/>
    <w:rsid w:val="005717E8"/>
    <w:rsid w:val="005733E6"/>
    <w:rsid w:val="0058604A"/>
    <w:rsid w:val="00587101"/>
    <w:rsid w:val="00590985"/>
    <w:rsid w:val="00591476"/>
    <w:rsid w:val="005954DF"/>
    <w:rsid w:val="00597E4E"/>
    <w:rsid w:val="005A31E9"/>
    <w:rsid w:val="005A3CB9"/>
    <w:rsid w:val="005A3F8C"/>
    <w:rsid w:val="005A51A9"/>
    <w:rsid w:val="005B59C8"/>
    <w:rsid w:val="005C0112"/>
    <w:rsid w:val="005C3088"/>
    <w:rsid w:val="005C65AC"/>
    <w:rsid w:val="005C7B01"/>
    <w:rsid w:val="005D343A"/>
    <w:rsid w:val="005D5751"/>
    <w:rsid w:val="005F0419"/>
    <w:rsid w:val="005F4548"/>
    <w:rsid w:val="005F59B3"/>
    <w:rsid w:val="0060001B"/>
    <w:rsid w:val="00601E5A"/>
    <w:rsid w:val="00607478"/>
    <w:rsid w:val="00610369"/>
    <w:rsid w:val="00610FB5"/>
    <w:rsid w:val="00624DEE"/>
    <w:rsid w:val="00633285"/>
    <w:rsid w:val="0063763C"/>
    <w:rsid w:val="00640B5B"/>
    <w:rsid w:val="00646D61"/>
    <w:rsid w:val="006479F3"/>
    <w:rsid w:val="00650EC4"/>
    <w:rsid w:val="0065176B"/>
    <w:rsid w:val="00651F5C"/>
    <w:rsid w:val="006546F2"/>
    <w:rsid w:val="00655184"/>
    <w:rsid w:val="00664C22"/>
    <w:rsid w:val="00672265"/>
    <w:rsid w:val="006744B0"/>
    <w:rsid w:val="00684802"/>
    <w:rsid w:val="0068499A"/>
    <w:rsid w:val="00687CD6"/>
    <w:rsid w:val="00693ADB"/>
    <w:rsid w:val="00693E6E"/>
    <w:rsid w:val="00697AF4"/>
    <w:rsid w:val="006A554D"/>
    <w:rsid w:val="006B095A"/>
    <w:rsid w:val="006B620B"/>
    <w:rsid w:val="006B6A64"/>
    <w:rsid w:val="006B6C29"/>
    <w:rsid w:val="006C5646"/>
    <w:rsid w:val="006C5B84"/>
    <w:rsid w:val="006C5BFD"/>
    <w:rsid w:val="006C5ED9"/>
    <w:rsid w:val="006D0795"/>
    <w:rsid w:val="006D6123"/>
    <w:rsid w:val="006E1A2E"/>
    <w:rsid w:val="006E2809"/>
    <w:rsid w:val="006F2AAB"/>
    <w:rsid w:val="006F7A5C"/>
    <w:rsid w:val="007019AC"/>
    <w:rsid w:val="007052BA"/>
    <w:rsid w:val="007129E9"/>
    <w:rsid w:val="00717C15"/>
    <w:rsid w:val="007222AD"/>
    <w:rsid w:val="007234E0"/>
    <w:rsid w:val="00724B37"/>
    <w:rsid w:val="00726840"/>
    <w:rsid w:val="007306D8"/>
    <w:rsid w:val="007360FD"/>
    <w:rsid w:val="0074182B"/>
    <w:rsid w:val="00743CCC"/>
    <w:rsid w:val="00745E69"/>
    <w:rsid w:val="00751FF5"/>
    <w:rsid w:val="00752D69"/>
    <w:rsid w:val="007560D2"/>
    <w:rsid w:val="00761212"/>
    <w:rsid w:val="007614F1"/>
    <w:rsid w:val="007640B6"/>
    <w:rsid w:val="00767B2F"/>
    <w:rsid w:val="007869C6"/>
    <w:rsid w:val="007948C0"/>
    <w:rsid w:val="00795CCC"/>
    <w:rsid w:val="00797D2D"/>
    <w:rsid w:val="007A3F3D"/>
    <w:rsid w:val="007A60B4"/>
    <w:rsid w:val="007B2E46"/>
    <w:rsid w:val="007B3286"/>
    <w:rsid w:val="007B37B7"/>
    <w:rsid w:val="007B57EE"/>
    <w:rsid w:val="007B747A"/>
    <w:rsid w:val="007C027D"/>
    <w:rsid w:val="007C151E"/>
    <w:rsid w:val="007C3AE6"/>
    <w:rsid w:val="007C7E34"/>
    <w:rsid w:val="007D2A93"/>
    <w:rsid w:val="007E1EF3"/>
    <w:rsid w:val="007E49DC"/>
    <w:rsid w:val="007F0B7A"/>
    <w:rsid w:val="007F4393"/>
    <w:rsid w:val="008002C3"/>
    <w:rsid w:val="008003D1"/>
    <w:rsid w:val="00800E3A"/>
    <w:rsid w:val="0080189E"/>
    <w:rsid w:val="00804CC3"/>
    <w:rsid w:val="00814810"/>
    <w:rsid w:val="00820647"/>
    <w:rsid w:val="008270A6"/>
    <w:rsid w:val="00831675"/>
    <w:rsid w:val="00840673"/>
    <w:rsid w:val="008553B8"/>
    <w:rsid w:val="00855A92"/>
    <w:rsid w:val="00860AEC"/>
    <w:rsid w:val="008629FC"/>
    <w:rsid w:val="00870A18"/>
    <w:rsid w:val="0087257F"/>
    <w:rsid w:val="008804BE"/>
    <w:rsid w:val="008809FF"/>
    <w:rsid w:val="00880DDA"/>
    <w:rsid w:val="008849CF"/>
    <w:rsid w:val="008A0478"/>
    <w:rsid w:val="008A466D"/>
    <w:rsid w:val="008A67A0"/>
    <w:rsid w:val="008B4777"/>
    <w:rsid w:val="008C0952"/>
    <w:rsid w:val="008C18C0"/>
    <w:rsid w:val="008D381B"/>
    <w:rsid w:val="008D449F"/>
    <w:rsid w:val="008D765C"/>
    <w:rsid w:val="008E1E36"/>
    <w:rsid w:val="008E3E21"/>
    <w:rsid w:val="008E74EB"/>
    <w:rsid w:val="00901786"/>
    <w:rsid w:val="00902AC5"/>
    <w:rsid w:val="009077D5"/>
    <w:rsid w:val="00907F98"/>
    <w:rsid w:val="00907FD8"/>
    <w:rsid w:val="00910C92"/>
    <w:rsid w:val="009119F4"/>
    <w:rsid w:val="00913E7C"/>
    <w:rsid w:val="00916C80"/>
    <w:rsid w:val="009228DF"/>
    <w:rsid w:val="009271C0"/>
    <w:rsid w:val="009325F6"/>
    <w:rsid w:val="00933D88"/>
    <w:rsid w:val="00942646"/>
    <w:rsid w:val="00944E78"/>
    <w:rsid w:val="009475BE"/>
    <w:rsid w:val="00951AC0"/>
    <w:rsid w:val="0095271A"/>
    <w:rsid w:val="00953EBD"/>
    <w:rsid w:val="0095515F"/>
    <w:rsid w:val="009618BD"/>
    <w:rsid w:val="00962B38"/>
    <w:rsid w:val="009639E1"/>
    <w:rsid w:val="00963F9B"/>
    <w:rsid w:val="00966E48"/>
    <w:rsid w:val="009743A8"/>
    <w:rsid w:val="00975049"/>
    <w:rsid w:val="00981E84"/>
    <w:rsid w:val="009879CC"/>
    <w:rsid w:val="009905A2"/>
    <w:rsid w:val="00991AEE"/>
    <w:rsid w:val="009931E4"/>
    <w:rsid w:val="009940C7"/>
    <w:rsid w:val="009A087F"/>
    <w:rsid w:val="009A44BF"/>
    <w:rsid w:val="009B3203"/>
    <w:rsid w:val="009B4FB5"/>
    <w:rsid w:val="009B72FE"/>
    <w:rsid w:val="009C01B0"/>
    <w:rsid w:val="009C326E"/>
    <w:rsid w:val="009D2BDF"/>
    <w:rsid w:val="009D5B50"/>
    <w:rsid w:val="009D5F0F"/>
    <w:rsid w:val="009D7541"/>
    <w:rsid w:val="009E16C4"/>
    <w:rsid w:val="009E40F7"/>
    <w:rsid w:val="009E5A9F"/>
    <w:rsid w:val="009F07F4"/>
    <w:rsid w:val="009F63D1"/>
    <w:rsid w:val="009F7622"/>
    <w:rsid w:val="00A03825"/>
    <w:rsid w:val="00A06FE3"/>
    <w:rsid w:val="00A07F2F"/>
    <w:rsid w:val="00A1292C"/>
    <w:rsid w:val="00A14967"/>
    <w:rsid w:val="00A16562"/>
    <w:rsid w:val="00A17AC0"/>
    <w:rsid w:val="00A30B6A"/>
    <w:rsid w:val="00A33C2E"/>
    <w:rsid w:val="00A377B5"/>
    <w:rsid w:val="00A44144"/>
    <w:rsid w:val="00A47600"/>
    <w:rsid w:val="00A52DDF"/>
    <w:rsid w:val="00A5438F"/>
    <w:rsid w:val="00A61B68"/>
    <w:rsid w:val="00A63A5B"/>
    <w:rsid w:val="00A7003A"/>
    <w:rsid w:val="00A752B2"/>
    <w:rsid w:val="00A83BD2"/>
    <w:rsid w:val="00A914C2"/>
    <w:rsid w:val="00A934D8"/>
    <w:rsid w:val="00AA0D55"/>
    <w:rsid w:val="00AA18D4"/>
    <w:rsid w:val="00AA425F"/>
    <w:rsid w:val="00AB2067"/>
    <w:rsid w:val="00AB74C0"/>
    <w:rsid w:val="00AB7B11"/>
    <w:rsid w:val="00AC0071"/>
    <w:rsid w:val="00AC1F6A"/>
    <w:rsid w:val="00AC472D"/>
    <w:rsid w:val="00AD5598"/>
    <w:rsid w:val="00AE09D1"/>
    <w:rsid w:val="00AE376C"/>
    <w:rsid w:val="00AE5E33"/>
    <w:rsid w:val="00B02431"/>
    <w:rsid w:val="00B13E1C"/>
    <w:rsid w:val="00B22688"/>
    <w:rsid w:val="00B27B2E"/>
    <w:rsid w:val="00B34051"/>
    <w:rsid w:val="00B406CD"/>
    <w:rsid w:val="00B46AAF"/>
    <w:rsid w:val="00B52280"/>
    <w:rsid w:val="00B533DF"/>
    <w:rsid w:val="00B551E8"/>
    <w:rsid w:val="00B65714"/>
    <w:rsid w:val="00B66460"/>
    <w:rsid w:val="00B665F6"/>
    <w:rsid w:val="00B67649"/>
    <w:rsid w:val="00B71A0E"/>
    <w:rsid w:val="00B7302F"/>
    <w:rsid w:val="00B91C96"/>
    <w:rsid w:val="00B94BD6"/>
    <w:rsid w:val="00B959DA"/>
    <w:rsid w:val="00B97117"/>
    <w:rsid w:val="00BA008A"/>
    <w:rsid w:val="00BA2C94"/>
    <w:rsid w:val="00BA4D9B"/>
    <w:rsid w:val="00BA5B19"/>
    <w:rsid w:val="00BA7390"/>
    <w:rsid w:val="00BC0F7F"/>
    <w:rsid w:val="00BC165A"/>
    <w:rsid w:val="00BC4DA2"/>
    <w:rsid w:val="00BC5109"/>
    <w:rsid w:val="00BC5E11"/>
    <w:rsid w:val="00BD3B14"/>
    <w:rsid w:val="00BD40A3"/>
    <w:rsid w:val="00BE1BBF"/>
    <w:rsid w:val="00BE6C69"/>
    <w:rsid w:val="00BF1B1B"/>
    <w:rsid w:val="00BF2646"/>
    <w:rsid w:val="00BF3042"/>
    <w:rsid w:val="00BF4632"/>
    <w:rsid w:val="00BF4ECB"/>
    <w:rsid w:val="00BF50EE"/>
    <w:rsid w:val="00C07FDF"/>
    <w:rsid w:val="00C10B76"/>
    <w:rsid w:val="00C10CEF"/>
    <w:rsid w:val="00C11C42"/>
    <w:rsid w:val="00C126F0"/>
    <w:rsid w:val="00C15199"/>
    <w:rsid w:val="00C2145D"/>
    <w:rsid w:val="00C23681"/>
    <w:rsid w:val="00C24CFB"/>
    <w:rsid w:val="00C25CB3"/>
    <w:rsid w:val="00C261CB"/>
    <w:rsid w:val="00C27017"/>
    <w:rsid w:val="00C27604"/>
    <w:rsid w:val="00C32447"/>
    <w:rsid w:val="00C32EF7"/>
    <w:rsid w:val="00C340FA"/>
    <w:rsid w:val="00C34C58"/>
    <w:rsid w:val="00C3628B"/>
    <w:rsid w:val="00C41E2D"/>
    <w:rsid w:val="00C468F6"/>
    <w:rsid w:val="00C5049C"/>
    <w:rsid w:val="00C52BAF"/>
    <w:rsid w:val="00C53463"/>
    <w:rsid w:val="00C546B4"/>
    <w:rsid w:val="00C56897"/>
    <w:rsid w:val="00C602AB"/>
    <w:rsid w:val="00C60AE4"/>
    <w:rsid w:val="00C60E4E"/>
    <w:rsid w:val="00C65EFF"/>
    <w:rsid w:val="00C72353"/>
    <w:rsid w:val="00C74995"/>
    <w:rsid w:val="00C76972"/>
    <w:rsid w:val="00C80AA0"/>
    <w:rsid w:val="00C837EE"/>
    <w:rsid w:val="00C8598F"/>
    <w:rsid w:val="00C86D72"/>
    <w:rsid w:val="00C9433B"/>
    <w:rsid w:val="00CA1F61"/>
    <w:rsid w:val="00CA3A3B"/>
    <w:rsid w:val="00CA502A"/>
    <w:rsid w:val="00CA5BB4"/>
    <w:rsid w:val="00CB3349"/>
    <w:rsid w:val="00CB3D3B"/>
    <w:rsid w:val="00CB731F"/>
    <w:rsid w:val="00CC189F"/>
    <w:rsid w:val="00CE6406"/>
    <w:rsid w:val="00CF5CF8"/>
    <w:rsid w:val="00CF7CC2"/>
    <w:rsid w:val="00D01A60"/>
    <w:rsid w:val="00D06D76"/>
    <w:rsid w:val="00D12FD5"/>
    <w:rsid w:val="00D16DC1"/>
    <w:rsid w:val="00D16F48"/>
    <w:rsid w:val="00D17719"/>
    <w:rsid w:val="00D24F3E"/>
    <w:rsid w:val="00D30C33"/>
    <w:rsid w:val="00D319C2"/>
    <w:rsid w:val="00D37C50"/>
    <w:rsid w:val="00D4541F"/>
    <w:rsid w:val="00D45DFB"/>
    <w:rsid w:val="00D47533"/>
    <w:rsid w:val="00D4794B"/>
    <w:rsid w:val="00D61D7F"/>
    <w:rsid w:val="00D70975"/>
    <w:rsid w:val="00D717DE"/>
    <w:rsid w:val="00D7222B"/>
    <w:rsid w:val="00D73DDF"/>
    <w:rsid w:val="00D73FA1"/>
    <w:rsid w:val="00D8022A"/>
    <w:rsid w:val="00D82DF7"/>
    <w:rsid w:val="00D83AF3"/>
    <w:rsid w:val="00D917CA"/>
    <w:rsid w:val="00D94326"/>
    <w:rsid w:val="00D95FC0"/>
    <w:rsid w:val="00DB0A8E"/>
    <w:rsid w:val="00DB62D6"/>
    <w:rsid w:val="00DC3AD7"/>
    <w:rsid w:val="00DC48CB"/>
    <w:rsid w:val="00DD283B"/>
    <w:rsid w:val="00DD3A06"/>
    <w:rsid w:val="00DD7576"/>
    <w:rsid w:val="00DE1BE1"/>
    <w:rsid w:val="00DE25CE"/>
    <w:rsid w:val="00DE3D2A"/>
    <w:rsid w:val="00DE4353"/>
    <w:rsid w:val="00DE48ED"/>
    <w:rsid w:val="00DF10B8"/>
    <w:rsid w:val="00DF4628"/>
    <w:rsid w:val="00DF7FA4"/>
    <w:rsid w:val="00E00346"/>
    <w:rsid w:val="00E046EE"/>
    <w:rsid w:val="00E1193D"/>
    <w:rsid w:val="00E22C85"/>
    <w:rsid w:val="00E26F8B"/>
    <w:rsid w:val="00E31736"/>
    <w:rsid w:val="00E35013"/>
    <w:rsid w:val="00E4012B"/>
    <w:rsid w:val="00E4248F"/>
    <w:rsid w:val="00E428BE"/>
    <w:rsid w:val="00E429C3"/>
    <w:rsid w:val="00E43D96"/>
    <w:rsid w:val="00E4620F"/>
    <w:rsid w:val="00E52648"/>
    <w:rsid w:val="00E565A1"/>
    <w:rsid w:val="00E57AA4"/>
    <w:rsid w:val="00E62FFC"/>
    <w:rsid w:val="00E67561"/>
    <w:rsid w:val="00E71329"/>
    <w:rsid w:val="00E72989"/>
    <w:rsid w:val="00E80390"/>
    <w:rsid w:val="00E810FF"/>
    <w:rsid w:val="00E8114E"/>
    <w:rsid w:val="00E86152"/>
    <w:rsid w:val="00E92B54"/>
    <w:rsid w:val="00EA18BC"/>
    <w:rsid w:val="00EA2107"/>
    <w:rsid w:val="00EA6B82"/>
    <w:rsid w:val="00EB1E23"/>
    <w:rsid w:val="00EB2076"/>
    <w:rsid w:val="00EB27A3"/>
    <w:rsid w:val="00EB3A33"/>
    <w:rsid w:val="00EC4D23"/>
    <w:rsid w:val="00ED7BC0"/>
    <w:rsid w:val="00EE5DD4"/>
    <w:rsid w:val="00EF202A"/>
    <w:rsid w:val="00EF292C"/>
    <w:rsid w:val="00EF2AA4"/>
    <w:rsid w:val="00EF7ACE"/>
    <w:rsid w:val="00F019D6"/>
    <w:rsid w:val="00F047EF"/>
    <w:rsid w:val="00F11ACB"/>
    <w:rsid w:val="00F13970"/>
    <w:rsid w:val="00F14B20"/>
    <w:rsid w:val="00F15626"/>
    <w:rsid w:val="00F23930"/>
    <w:rsid w:val="00F24570"/>
    <w:rsid w:val="00F2464E"/>
    <w:rsid w:val="00F370ED"/>
    <w:rsid w:val="00F5510C"/>
    <w:rsid w:val="00F63323"/>
    <w:rsid w:val="00F636FD"/>
    <w:rsid w:val="00F65EE6"/>
    <w:rsid w:val="00F6626E"/>
    <w:rsid w:val="00F7053B"/>
    <w:rsid w:val="00F72709"/>
    <w:rsid w:val="00F73F7F"/>
    <w:rsid w:val="00F851EC"/>
    <w:rsid w:val="00F85B25"/>
    <w:rsid w:val="00F85C44"/>
    <w:rsid w:val="00F907D7"/>
    <w:rsid w:val="00FA3DFE"/>
    <w:rsid w:val="00FB3136"/>
    <w:rsid w:val="00FC2266"/>
    <w:rsid w:val="00FC5356"/>
    <w:rsid w:val="00FC603E"/>
    <w:rsid w:val="00FD098C"/>
    <w:rsid w:val="00FD1D92"/>
    <w:rsid w:val="00FD545F"/>
    <w:rsid w:val="00FE282A"/>
    <w:rsid w:val="00FE53ED"/>
    <w:rsid w:val="00FE69F2"/>
    <w:rsid w:val="00FF032A"/>
    <w:rsid w:val="00FF04E3"/>
    <w:rsid w:val="00FF2E5A"/>
    <w:rsid w:val="00FF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8DB6"/>
  <w15:chartTrackingRefBased/>
  <w15:docId w15:val="{7359BB6B-9541-4001-9770-78DA1F3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390"/>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90"/>
    <w:pPr>
      <w:tabs>
        <w:tab w:val="center" w:pos="4513"/>
        <w:tab w:val="right" w:pos="9026"/>
      </w:tabs>
    </w:pPr>
  </w:style>
  <w:style w:type="character" w:customStyle="1" w:styleId="HeaderChar">
    <w:name w:val="Header Char"/>
    <w:basedOn w:val="DefaultParagraphFont"/>
    <w:link w:val="Header"/>
    <w:uiPriority w:val="99"/>
    <w:rsid w:val="00BA7390"/>
    <w:rPr>
      <w:rFonts w:ascii="Calibri" w:eastAsia="Calibri" w:hAnsi="Calibri" w:cs="Times New Roman"/>
      <w:sz w:val="24"/>
      <w:szCs w:val="24"/>
      <w:lang w:val="en-GB"/>
    </w:rPr>
  </w:style>
  <w:style w:type="paragraph" w:styleId="Footer">
    <w:name w:val="footer"/>
    <w:basedOn w:val="Normal"/>
    <w:link w:val="FooterChar"/>
    <w:uiPriority w:val="99"/>
    <w:unhideWhenUsed/>
    <w:rsid w:val="00BA7390"/>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BA7390"/>
    <w:rPr>
      <w:rFonts w:ascii="Calibri" w:eastAsia="Calibri" w:hAnsi="Calibri" w:cs="Times New Roman"/>
      <w:color w:val="430098"/>
      <w:sz w:val="24"/>
      <w:szCs w:val="24"/>
      <w:lang w:val="en-GB"/>
    </w:rPr>
  </w:style>
  <w:style w:type="paragraph" w:customStyle="1" w:styleId="Body">
    <w:name w:val="Body"/>
    <w:basedOn w:val="Normal"/>
    <w:qFormat/>
    <w:rsid w:val="00BA7390"/>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SectionHeading1">
    <w:name w:val="Section Heading 1"/>
    <w:basedOn w:val="Normal"/>
    <w:qFormat/>
    <w:rsid w:val="00BA7390"/>
    <w:pPr>
      <w:widowControl w:val="0"/>
      <w:suppressAutoHyphens/>
      <w:autoSpaceDE w:val="0"/>
      <w:autoSpaceDN w:val="0"/>
      <w:adjustRightInd w:val="0"/>
      <w:spacing w:after="120" w:line="288" w:lineRule="auto"/>
      <w:textAlignment w:val="center"/>
    </w:pPr>
    <w:rPr>
      <w:rFonts w:cs="PostGrotesk-Medium"/>
      <w:color w:val="430098"/>
      <w:sz w:val="28"/>
      <w:szCs w:val="28"/>
    </w:rPr>
  </w:style>
  <w:style w:type="paragraph" w:customStyle="1" w:styleId="Disclaimer">
    <w:name w:val="Disclaimer"/>
    <w:basedOn w:val="Normal"/>
    <w:qFormat/>
    <w:rsid w:val="00BA7390"/>
    <w:pPr>
      <w:ind w:right="-7"/>
    </w:pPr>
    <w:rPr>
      <w:rFonts w:cs="PostGrotesk-Book"/>
      <w:color w:val="55565A"/>
      <w:sz w:val="18"/>
      <w:szCs w:val="18"/>
    </w:rPr>
  </w:style>
  <w:style w:type="paragraph" w:customStyle="1" w:styleId="DocumentTitle">
    <w:name w:val="Document Title"/>
    <w:basedOn w:val="Header"/>
    <w:qFormat/>
    <w:rsid w:val="00BA7390"/>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BA7390"/>
    <w:rPr>
      <w:color w:val="0000FF"/>
      <w:u w:val="single"/>
    </w:rPr>
  </w:style>
  <w:style w:type="character" w:styleId="UnresolvedMention">
    <w:name w:val="Unresolved Mention"/>
    <w:basedOn w:val="DefaultParagraphFont"/>
    <w:uiPriority w:val="99"/>
    <w:semiHidden/>
    <w:unhideWhenUsed/>
    <w:rsid w:val="00BA008A"/>
    <w:rPr>
      <w:color w:val="808080"/>
      <w:shd w:val="clear" w:color="auto" w:fill="E6E6E6"/>
    </w:rPr>
  </w:style>
  <w:style w:type="character" w:styleId="CommentReference">
    <w:name w:val="annotation reference"/>
    <w:basedOn w:val="DefaultParagraphFont"/>
    <w:uiPriority w:val="99"/>
    <w:semiHidden/>
    <w:unhideWhenUsed/>
    <w:rsid w:val="00E62FFC"/>
    <w:rPr>
      <w:sz w:val="16"/>
      <w:szCs w:val="16"/>
    </w:rPr>
  </w:style>
  <w:style w:type="paragraph" w:styleId="CommentText">
    <w:name w:val="annotation text"/>
    <w:basedOn w:val="Normal"/>
    <w:link w:val="CommentTextChar"/>
    <w:uiPriority w:val="99"/>
    <w:semiHidden/>
    <w:unhideWhenUsed/>
    <w:rsid w:val="00E62FFC"/>
    <w:rPr>
      <w:sz w:val="20"/>
      <w:szCs w:val="20"/>
    </w:rPr>
  </w:style>
  <w:style w:type="character" w:customStyle="1" w:styleId="CommentTextChar">
    <w:name w:val="Comment Text Char"/>
    <w:basedOn w:val="DefaultParagraphFont"/>
    <w:link w:val="CommentText"/>
    <w:uiPriority w:val="99"/>
    <w:semiHidden/>
    <w:rsid w:val="00E62FF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2FFC"/>
    <w:rPr>
      <w:b/>
      <w:bCs/>
    </w:rPr>
  </w:style>
  <w:style w:type="character" w:customStyle="1" w:styleId="CommentSubjectChar">
    <w:name w:val="Comment Subject Char"/>
    <w:basedOn w:val="CommentTextChar"/>
    <w:link w:val="CommentSubject"/>
    <w:uiPriority w:val="99"/>
    <w:semiHidden/>
    <w:rsid w:val="00E62FF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62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FC"/>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80189E"/>
    <w:rPr>
      <w:sz w:val="20"/>
      <w:szCs w:val="20"/>
    </w:rPr>
  </w:style>
  <w:style w:type="character" w:customStyle="1" w:styleId="FootnoteTextChar">
    <w:name w:val="Footnote Text Char"/>
    <w:basedOn w:val="DefaultParagraphFont"/>
    <w:link w:val="FootnoteText"/>
    <w:uiPriority w:val="99"/>
    <w:semiHidden/>
    <w:rsid w:val="0080189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0189E"/>
    <w:rPr>
      <w:vertAlign w:val="superscript"/>
    </w:rPr>
  </w:style>
  <w:style w:type="paragraph" w:styleId="Revision">
    <w:name w:val="Revision"/>
    <w:hidden/>
    <w:uiPriority w:val="99"/>
    <w:semiHidden/>
    <w:rsid w:val="002F4EC6"/>
    <w:pPr>
      <w:spacing w:after="0" w:line="240" w:lineRule="auto"/>
    </w:pPr>
    <w:rPr>
      <w:rFonts w:ascii="Calibri" w:eastAsia="Calibri" w:hAnsi="Calibri" w:cs="Times New Roman"/>
      <w:sz w:val="24"/>
      <w:szCs w:val="24"/>
      <w:lang w:val="en-GB"/>
    </w:rPr>
  </w:style>
  <w:style w:type="paragraph" w:styleId="ListParagraph">
    <w:name w:val="List Paragraph"/>
    <w:basedOn w:val="Normal"/>
    <w:uiPriority w:val="34"/>
    <w:qFormat/>
    <w:rsid w:val="004B2A46"/>
    <w:pPr>
      <w:ind w:left="720"/>
    </w:pPr>
    <w:rPr>
      <w:rFonts w:eastAsiaTheme="minorHAns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549">
      <w:bodyDiv w:val="1"/>
      <w:marLeft w:val="0"/>
      <w:marRight w:val="0"/>
      <w:marTop w:val="0"/>
      <w:marBottom w:val="0"/>
      <w:divBdr>
        <w:top w:val="none" w:sz="0" w:space="0" w:color="auto"/>
        <w:left w:val="none" w:sz="0" w:space="0" w:color="auto"/>
        <w:bottom w:val="none" w:sz="0" w:space="0" w:color="auto"/>
        <w:right w:val="none" w:sz="0" w:space="0" w:color="auto"/>
      </w:divBdr>
    </w:div>
    <w:div w:id="298076977">
      <w:bodyDiv w:val="1"/>
      <w:marLeft w:val="0"/>
      <w:marRight w:val="0"/>
      <w:marTop w:val="0"/>
      <w:marBottom w:val="0"/>
      <w:divBdr>
        <w:top w:val="none" w:sz="0" w:space="0" w:color="auto"/>
        <w:left w:val="none" w:sz="0" w:space="0" w:color="auto"/>
        <w:bottom w:val="none" w:sz="0" w:space="0" w:color="auto"/>
        <w:right w:val="none" w:sz="0" w:space="0" w:color="auto"/>
      </w:divBdr>
    </w:div>
    <w:div w:id="335234067">
      <w:bodyDiv w:val="1"/>
      <w:marLeft w:val="0"/>
      <w:marRight w:val="0"/>
      <w:marTop w:val="0"/>
      <w:marBottom w:val="0"/>
      <w:divBdr>
        <w:top w:val="none" w:sz="0" w:space="0" w:color="auto"/>
        <w:left w:val="none" w:sz="0" w:space="0" w:color="auto"/>
        <w:bottom w:val="none" w:sz="0" w:space="0" w:color="auto"/>
        <w:right w:val="none" w:sz="0" w:space="0" w:color="auto"/>
      </w:divBdr>
    </w:div>
    <w:div w:id="366297383">
      <w:bodyDiv w:val="1"/>
      <w:marLeft w:val="0"/>
      <w:marRight w:val="0"/>
      <w:marTop w:val="0"/>
      <w:marBottom w:val="0"/>
      <w:divBdr>
        <w:top w:val="none" w:sz="0" w:space="0" w:color="auto"/>
        <w:left w:val="none" w:sz="0" w:space="0" w:color="auto"/>
        <w:bottom w:val="none" w:sz="0" w:space="0" w:color="auto"/>
        <w:right w:val="none" w:sz="0" w:space="0" w:color="auto"/>
      </w:divBdr>
    </w:div>
    <w:div w:id="457997246">
      <w:bodyDiv w:val="1"/>
      <w:marLeft w:val="0"/>
      <w:marRight w:val="0"/>
      <w:marTop w:val="0"/>
      <w:marBottom w:val="0"/>
      <w:divBdr>
        <w:top w:val="none" w:sz="0" w:space="0" w:color="auto"/>
        <w:left w:val="none" w:sz="0" w:space="0" w:color="auto"/>
        <w:bottom w:val="none" w:sz="0" w:space="0" w:color="auto"/>
        <w:right w:val="none" w:sz="0" w:space="0" w:color="auto"/>
      </w:divBdr>
    </w:div>
    <w:div w:id="663246382">
      <w:bodyDiv w:val="1"/>
      <w:marLeft w:val="0"/>
      <w:marRight w:val="0"/>
      <w:marTop w:val="0"/>
      <w:marBottom w:val="0"/>
      <w:divBdr>
        <w:top w:val="none" w:sz="0" w:space="0" w:color="auto"/>
        <w:left w:val="none" w:sz="0" w:space="0" w:color="auto"/>
        <w:bottom w:val="none" w:sz="0" w:space="0" w:color="auto"/>
        <w:right w:val="none" w:sz="0" w:space="0" w:color="auto"/>
      </w:divBdr>
    </w:div>
    <w:div w:id="1139684812">
      <w:bodyDiv w:val="1"/>
      <w:marLeft w:val="0"/>
      <w:marRight w:val="0"/>
      <w:marTop w:val="0"/>
      <w:marBottom w:val="0"/>
      <w:divBdr>
        <w:top w:val="none" w:sz="0" w:space="0" w:color="auto"/>
        <w:left w:val="none" w:sz="0" w:space="0" w:color="auto"/>
        <w:bottom w:val="none" w:sz="0" w:space="0" w:color="auto"/>
        <w:right w:val="none" w:sz="0" w:space="0" w:color="auto"/>
      </w:divBdr>
    </w:div>
    <w:div w:id="1305156145">
      <w:bodyDiv w:val="1"/>
      <w:marLeft w:val="0"/>
      <w:marRight w:val="0"/>
      <w:marTop w:val="0"/>
      <w:marBottom w:val="0"/>
      <w:divBdr>
        <w:top w:val="none" w:sz="0" w:space="0" w:color="auto"/>
        <w:left w:val="none" w:sz="0" w:space="0" w:color="auto"/>
        <w:bottom w:val="none" w:sz="0" w:space="0" w:color="auto"/>
        <w:right w:val="none" w:sz="0" w:space="0" w:color="auto"/>
      </w:divBdr>
    </w:div>
    <w:div w:id="1723945494">
      <w:bodyDiv w:val="1"/>
      <w:marLeft w:val="0"/>
      <w:marRight w:val="0"/>
      <w:marTop w:val="0"/>
      <w:marBottom w:val="0"/>
      <w:divBdr>
        <w:top w:val="none" w:sz="0" w:space="0" w:color="auto"/>
        <w:left w:val="none" w:sz="0" w:space="0" w:color="auto"/>
        <w:bottom w:val="none" w:sz="0" w:space="0" w:color="auto"/>
        <w:right w:val="none" w:sz="0" w:space="0" w:color="auto"/>
      </w:divBdr>
    </w:div>
    <w:div w:id="1884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3934-AF79-374C-9E91-A6679D72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Dean Bardell-Williams</cp:lastModifiedBy>
  <cp:revision>3</cp:revision>
  <cp:lastPrinted>2018-11-26T23:04:00Z</cp:lastPrinted>
  <dcterms:created xsi:type="dcterms:W3CDTF">2018-11-29T22:11:00Z</dcterms:created>
  <dcterms:modified xsi:type="dcterms:W3CDTF">2019-03-04T05:43:00Z</dcterms:modified>
</cp:coreProperties>
</file>